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1" w:rsidRPr="00D96637" w:rsidRDefault="00E90321" w:rsidP="00E9032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8640" cy="673100"/>
            <wp:effectExtent l="19050" t="0" r="381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21" w:rsidRPr="00D96637" w:rsidRDefault="00E90321" w:rsidP="00E90321">
      <w:pPr>
        <w:jc w:val="center"/>
      </w:pPr>
      <w:proofErr w:type="spellStart"/>
      <w:r w:rsidRPr="00D96637">
        <w:t>Україна</w:t>
      </w:r>
      <w:proofErr w:type="spellEnd"/>
    </w:p>
    <w:p w:rsidR="00E90321" w:rsidRPr="00D96637" w:rsidRDefault="00E90321" w:rsidP="00E90321">
      <w:pPr>
        <w:jc w:val="center"/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  <w:proofErr w:type="spellStart"/>
      <w:r w:rsidRPr="00D96637">
        <w:t>Верховинського</w:t>
      </w:r>
      <w:proofErr w:type="spellEnd"/>
      <w:r w:rsidRPr="00D96637">
        <w:t xml:space="preserve"> району</w:t>
      </w:r>
    </w:p>
    <w:p w:rsidR="00E90321" w:rsidRPr="00D96637" w:rsidRDefault="00E90321" w:rsidP="00E90321">
      <w:pPr>
        <w:jc w:val="center"/>
      </w:pP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E90321" w:rsidRPr="00D96637" w:rsidRDefault="00E90321" w:rsidP="00E90321">
      <w:pPr>
        <w:jc w:val="center"/>
      </w:pPr>
      <w:proofErr w:type="spellStart"/>
      <w:r w:rsidRPr="00D96637">
        <w:t>сьомого</w:t>
      </w:r>
      <w:proofErr w:type="spellEnd"/>
      <w:r w:rsidRPr="00D96637">
        <w:t xml:space="preserve"> демократичного </w:t>
      </w:r>
      <w:proofErr w:type="spellStart"/>
      <w:r w:rsidRPr="00D96637">
        <w:t>скликання</w:t>
      </w:r>
      <w:proofErr w:type="spellEnd"/>
    </w:p>
    <w:p w:rsidR="00E90321" w:rsidRPr="00BD73DC" w:rsidRDefault="00E90321" w:rsidP="00E90321">
      <w:pPr>
        <w:jc w:val="center"/>
        <w:rPr>
          <w:lang w:val="uk-UA"/>
        </w:rPr>
      </w:pPr>
      <w:proofErr w:type="spellStart"/>
      <w:r>
        <w:t>двадцят</w:t>
      </w:r>
      <w:proofErr w:type="spellEnd"/>
      <w:r>
        <w:rPr>
          <w:lang w:val="uk-UA"/>
        </w:rPr>
        <w:t>ь третя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E90321" w:rsidRPr="0058090A" w:rsidRDefault="00E90321" w:rsidP="00E90321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58090A">
        <w:rPr>
          <w:lang w:val="uk-UA"/>
        </w:rPr>
        <w:t>РІШЕННЯ</w:t>
      </w:r>
    </w:p>
    <w:p w:rsidR="00E90321" w:rsidRPr="00D96637" w:rsidRDefault="00E90321" w:rsidP="00E90321">
      <w:pPr>
        <w:jc w:val="center"/>
      </w:pPr>
    </w:p>
    <w:p w:rsidR="00E90321" w:rsidRPr="00D96637" w:rsidRDefault="00E90321" w:rsidP="00E90321">
      <w:pPr>
        <w:jc w:val="both"/>
      </w:pPr>
      <w:r>
        <w:rPr>
          <w:lang w:val="uk-UA"/>
        </w:rPr>
        <w:t xml:space="preserve">       </w:t>
      </w:r>
      <w:proofErr w:type="spellStart"/>
      <w:r w:rsidRPr="008C1A80">
        <w:t>від</w:t>
      </w:r>
      <w:proofErr w:type="spellEnd"/>
      <w:r w:rsidRPr="008C1A80">
        <w:t xml:space="preserve"> </w:t>
      </w:r>
      <w:r>
        <w:rPr>
          <w:lang w:val="uk-UA"/>
        </w:rPr>
        <w:t>21</w:t>
      </w:r>
      <w:r w:rsidRPr="008C1A80">
        <w:t>.0</w:t>
      </w:r>
      <w:r>
        <w:rPr>
          <w:lang w:val="uk-UA"/>
        </w:rPr>
        <w:t>9</w:t>
      </w:r>
      <w:r w:rsidRPr="008C1A80">
        <w:t>. 2018 року</w:t>
      </w:r>
      <w:r w:rsidRPr="00D96637">
        <w:t xml:space="preserve">          </w:t>
      </w:r>
      <w:r w:rsidRPr="00D96637">
        <w:tab/>
      </w:r>
      <w:r w:rsidRPr="00D96637">
        <w:tab/>
      </w:r>
      <w:r w:rsidRPr="00D96637">
        <w:tab/>
        <w:t xml:space="preserve">                                           </w:t>
      </w:r>
      <w:proofErr w:type="spellStart"/>
      <w:r w:rsidRPr="00D96637">
        <w:t>с-ще</w:t>
      </w:r>
      <w:proofErr w:type="spellEnd"/>
      <w:r w:rsidRPr="00D96637">
        <w:t xml:space="preserve"> Верховина</w:t>
      </w:r>
    </w:p>
    <w:p w:rsidR="00E90321" w:rsidRPr="00E90321" w:rsidRDefault="00E90321" w:rsidP="00E90321">
      <w:pPr>
        <w:jc w:val="both"/>
        <w:rPr>
          <w:color w:val="FF0000"/>
          <w:lang w:val="uk-UA"/>
        </w:rPr>
      </w:pPr>
      <w:r>
        <w:t xml:space="preserve">    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№173-23/2018</w:t>
      </w:r>
    </w:p>
    <w:p w:rsidR="00E90321" w:rsidRPr="007B5531" w:rsidRDefault="00E90321" w:rsidP="00E90321">
      <w:pPr>
        <w:jc w:val="both"/>
        <w:rPr>
          <w:b/>
          <w:lang w:val="uk-UA"/>
        </w:rPr>
      </w:pPr>
      <w:r w:rsidRPr="007B5531">
        <w:rPr>
          <w:b/>
        </w:rPr>
        <w:t xml:space="preserve">Про </w:t>
      </w:r>
      <w:proofErr w:type="spellStart"/>
      <w:r w:rsidRPr="007B5531">
        <w:rPr>
          <w:b/>
        </w:rPr>
        <w:t>внесення</w:t>
      </w:r>
      <w:proofErr w:type="spellEnd"/>
      <w:r w:rsidRPr="007B5531">
        <w:rPr>
          <w:b/>
        </w:rPr>
        <w:t xml:space="preserve"> </w:t>
      </w:r>
      <w:proofErr w:type="spellStart"/>
      <w:r w:rsidRPr="007B5531">
        <w:rPr>
          <w:b/>
        </w:rPr>
        <w:t>доповнень</w:t>
      </w:r>
      <w:proofErr w:type="spellEnd"/>
      <w:r w:rsidRPr="007B5531">
        <w:rPr>
          <w:b/>
        </w:rPr>
        <w:t xml:space="preserve"> </w:t>
      </w:r>
    </w:p>
    <w:p w:rsidR="00E90321" w:rsidRPr="007B5531" w:rsidRDefault="00E90321" w:rsidP="00E90321">
      <w:pPr>
        <w:jc w:val="both"/>
        <w:rPr>
          <w:b/>
          <w:lang w:val="uk-UA"/>
        </w:rPr>
      </w:pPr>
      <w:r w:rsidRPr="007B5531">
        <w:rPr>
          <w:b/>
        </w:rPr>
        <w:t xml:space="preserve">до </w:t>
      </w:r>
      <w:proofErr w:type="spellStart"/>
      <w:proofErr w:type="gramStart"/>
      <w:r w:rsidRPr="007B5531">
        <w:rPr>
          <w:b/>
        </w:rPr>
        <w:t>р</w:t>
      </w:r>
      <w:proofErr w:type="gramEnd"/>
      <w:r w:rsidRPr="007B5531">
        <w:rPr>
          <w:b/>
        </w:rPr>
        <w:t>ішення</w:t>
      </w:r>
      <w:proofErr w:type="spellEnd"/>
      <w:r w:rsidRPr="007B5531">
        <w:rPr>
          <w:b/>
        </w:rPr>
        <w:t xml:space="preserve"> </w:t>
      </w:r>
      <w:proofErr w:type="spellStart"/>
      <w:r w:rsidRPr="007B5531">
        <w:rPr>
          <w:b/>
        </w:rPr>
        <w:t>Верховинської</w:t>
      </w:r>
      <w:proofErr w:type="spellEnd"/>
      <w:r w:rsidRPr="007B5531">
        <w:rPr>
          <w:b/>
        </w:rPr>
        <w:t xml:space="preserve"> </w:t>
      </w:r>
      <w:proofErr w:type="spellStart"/>
      <w:r w:rsidRPr="007B5531">
        <w:rPr>
          <w:b/>
        </w:rPr>
        <w:t>селищної</w:t>
      </w:r>
      <w:proofErr w:type="spellEnd"/>
      <w:r w:rsidRPr="007B5531">
        <w:rPr>
          <w:b/>
        </w:rPr>
        <w:t xml:space="preserve"> </w:t>
      </w:r>
    </w:p>
    <w:p w:rsidR="00E90321" w:rsidRPr="00B91358" w:rsidRDefault="00E90321" w:rsidP="00E90321">
      <w:pPr>
        <w:jc w:val="both"/>
        <w:rPr>
          <w:b/>
          <w:lang w:val="uk-UA"/>
        </w:rPr>
      </w:pPr>
      <w:proofErr w:type="gramStart"/>
      <w:r w:rsidRPr="007B5531">
        <w:rPr>
          <w:b/>
        </w:rPr>
        <w:t>ради</w:t>
      </w:r>
      <w:proofErr w:type="gramEnd"/>
      <w:r w:rsidRPr="007B5531">
        <w:rPr>
          <w:b/>
        </w:rPr>
        <w:t xml:space="preserve"> </w:t>
      </w:r>
      <w:proofErr w:type="spellStart"/>
      <w:r w:rsidRPr="00B91358">
        <w:rPr>
          <w:b/>
        </w:rPr>
        <w:t>від</w:t>
      </w:r>
      <w:proofErr w:type="spellEnd"/>
      <w:r w:rsidRPr="00B91358">
        <w:rPr>
          <w:b/>
        </w:rPr>
        <w:t xml:space="preserve"> 05.07.2017 року №111-15/2017 </w:t>
      </w:r>
    </w:p>
    <w:p w:rsidR="00E90321" w:rsidRPr="00B91358" w:rsidRDefault="00E90321" w:rsidP="00E90321">
      <w:pPr>
        <w:jc w:val="both"/>
        <w:rPr>
          <w:b/>
          <w:lang w:val="uk-UA"/>
        </w:rPr>
      </w:pPr>
      <w:r w:rsidRPr="00B91358">
        <w:rPr>
          <w:b/>
        </w:rPr>
        <w:t xml:space="preserve">«Про </w:t>
      </w:r>
      <w:proofErr w:type="spellStart"/>
      <w:r w:rsidRPr="00B91358">
        <w:rPr>
          <w:b/>
        </w:rPr>
        <w:t>затвердження</w:t>
      </w:r>
      <w:proofErr w:type="spellEnd"/>
      <w:r w:rsidRPr="00B91358">
        <w:rPr>
          <w:b/>
        </w:rPr>
        <w:t xml:space="preserve"> ставок </w:t>
      </w:r>
      <w:proofErr w:type="gramStart"/>
      <w:r w:rsidRPr="00B91358">
        <w:rPr>
          <w:b/>
        </w:rPr>
        <w:t>земельного</w:t>
      </w:r>
      <w:proofErr w:type="gramEnd"/>
      <w:r w:rsidRPr="00B91358">
        <w:rPr>
          <w:b/>
        </w:rPr>
        <w:t xml:space="preserve"> </w:t>
      </w:r>
      <w:proofErr w:type="spellStart"/>
      <w:r w:rsidRPr="00B91358">
        <w:rPr>
          <w:b/>
        </w:rPr>
        <w:t>податку</w:t>
      </w:r>
      <w:proofErr w:type="spellEnd"/>
      <w:r w:rsidRPr="00B91358">
        <w:rPr>
          <w:b/>
        </w:rPr>
        <w:t xml:space="preserve"> </w:t>
      </w:r>
    </w:p>
    <w:p w:rsidR="00E90321" w:rsidRPr="00B91358" w:rsidRDefault="00E90321" w:rsidP="00E90321">
      <w:pPr>
        <w:jc w:val="both"/>
        <w:rPr>
          <w:b/>
          <w:noProof/>
          <w:lang w:val="uk-UA"/>
        </w:rPr>
      </w:pPr>
      <w:r w:rsidRPr="00B91358">
        <w:rPr>
          <w:b/>
        </w:rPr>
        <w:t xml:space="preserve">та </w:t>
      </w:r>
      <w:proofErr w:type="spellStart"/>
      <w:r w:rsidRPr="00B91358">
        <w:rPr>
          <w:b/>
        </w:rPr>
        <w:t>розміру</w:t>
      </w:r>
      <w:proofErr w:type="spellEnd"/>
      <w:r w:rsidRPr="00B91358">
        <w:rPr>
          <w:b/>
        </w:rPr>
        <w:t xml:space="preserve"> </w:t>
      </w:r>
      <w:proofErr w:type="spellStart"/>
      <w:r w:rsidRPr="00B91358">
        <w:rPr>
          <w:b/>
        </w:rPr>
        <w:t>орендної</w:t>
      </w:r>
      <w:proofErr w:type="spellEnd"/>
      <w:r w:rsidRPr="00B91358">
        <w:rPr>
          <w:b/>
        </w:rPr>
        <w:t xml:space="preserve"> плати на 2018 </w:t>
      </w:r>
      <w:proofErr w:type="spellStart"/>
      <w:proofErr w:type="gramStart"/>
      <w:r w:rsidRPr="00B91358">
        <w:rPr>
          <w:b/>
        </w:rPr>
        <w:t>р</w:t>
      </w:r>
      <w:proofErr w:type="gramEnd"/>
      <w:r w:rsidRPr="00B91358">
        <w:rPr>
          <w:b/>
        </w:rPr>
        <w:t>ік</w:t>
      </w:r>
      <w:proofErr w:type="spellEnd"/>
      <w:r w:rsidRPr="00B91358">
        <w:rPr>
          <w:b/>
          <w:noProof/>
        </w:rPr>
        <w:t>»</w:t>
      </w:r>
    </w:p>
    <w:p w:rsidR="00E90321" w:rsidRPr="00B91358" w:rsidRDefault="00E90321" w:rsidP="00E90321">
      <w:pPr>
        <w:jc w:val="both"/>
        <w:rPr>
          <w:lang w:val="uk-UA"/>
        </w:rPr>
      </w:pPr>
    </w:p>
    <w:p w:rsidR="00E90321" w:rsidRPr="00EB659E" w:rsidRDefault="00E90321" w:rsidP="00E90321">
      <w:pPr>
        <w:tabs>
          <w:tab w:val="left" w:pos="0"/>
        </w:tabs>
        <w:jc w:val="both"/>
        <w:rPr>
          <w:lang w:val="uk-UA"/>
        </w:rPr>
      </w:pPr>
      <w:r>
        <w:rPr>
          <w:noProof/>
          <w:lang w:val="uk-UA"/>
        </w:rPr>
        <w:tab/>
        <w:t>Відповідно Закону України від 10.07.2018 року №2497-</w:t>
      </w:r>
      <w:r>
        <w:rPr>
          <w:noProof/>
          <w:lang w:val="en-US"/>
        </w:rPr>
        <w:t>VIII</w:t>
      </w:r>
      <w:r w:rsidRPr="00C359C7">
        <w:rPr>
          <w:noProof/>
          <w:lang w:val="uk-UA"/>
        </w:rPr>
        <w:t xml:space="preserve"> </w:t>
      </w:r>
      <w:r>
        <w:rPr>
          <w:noProof/>
          <w:lang w:val="uk-UA"/>
        </w:rPr>
        <w:t>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</w:t>
      </w:r>
      <w:r w:rsidRPr="00EB659E">
        <w:rPr>
          <w:noProof/>
          <w:lang w:val="uk-UA"/>
        </w:rPr>
        <w:t xml:space="preserve"> та </w:t>
      </w:r>
      <w:r>
        <w:rPr>
          <w:noProof/>
          <w:lang w:val="uk-UA"/>
        </w:rPr>
        <w:t xml:space="preserve">керуючись </w:t>
      </w:r>
      <w:r w:rsidRPr="00EB659E">
        <w:rPr>
          <w:noProof/>
          <w:lang w:val="uk-UA"/>
        </w:rPr>
        <w:t xml:space="preserve">пунктом 24 частини першої статті 26 Закону України “Про місцеве самоврядування в Україні”,  </w:t>
      </w:r>
      <w:r w:rsidRPr="00C359C7">
        <w:rPr>
          <w:lang w:val="uk-UA"/>
        </w:rPr>
        <w:t xml:space="preserve">сесія селищної ради </w:t>
      </w:r>
    </w:p>
    <w:p w:rsidR="00E90321" w:rsidRPr="00EB659E" w:rsidRDefault="00E90321" w:rsidP="00E90321">
      <w:pPr>
        <w:tabs>
          <w:tab w:val="left" w:pos="0"/>
        </w:tabs>
        <w:jc w:val="center"/>
        <w:rPr>
          <w:lang w:val="uk-UA"/>
        </w:rPr>
      </w:pPr>
      <w:r>
        <w:t xml:space="preserve">ВИРІШИЛА </w:t>
      </w:r>
    </w:p>
    <w:p w:rsidR="00E90321" w:rsidRPr="00981E72" w:rsidRDefault="00E90321" w:rsidP="00E90321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981E72">
        <w:rPr>
          <w:rFonts w:ascii="Times New Roman" w:hAnsi="Times New Roman"/>
          <w:sz w:val="24"/>
          <w:szCs w:val="24"/>
        </w:rPr>
        <w:t xml:space="preserve">. </w:t>
      </w:r>
      <w:r w:rsidRPr="00981E72">
        <w:rPr>
          <w:rFonts w:ascii="Times New Roman" w:hAnsi="Times New Roman"/>
          <w:noProof/>
          <w:sz w:val="24"/>
          <w:szCs w:val="24"/>
          <w:lang w:val="ru-RU"/>
        </w:rPr>
        <w:t>Внести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до рішення </w:t>
      </w:r>
      <w:r w:rsidRPr="00B24FD2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рховинської селищної ради від 05.07.2017</w:t>
      </w:r>
      <w:r w:rsidRPr="00B24FD2">
        <w:rPr>
          <w:rFonts w:ascii="Times New Roman" w:hAnsi="Times New Roman"/>
          <w:sz w:val="24"/>
          <w:szCs w:val="24"/>
        </w:rPr>
        <w:t xml:space="preserve"> року </w:t>
      </w:r>
      <w:r w:rsidRPr="00981E72">
        <w:rPr>
          <w:rFonts w:ascii="Times New Roman" w:hAnsi="Times New Roman"/>
          <w:sz w:val="24"/>
          <w:szCs w:val="24"/>
        </w:rPr>
        <w:t>№111-15/2017</w:t>
      </w:r>
      <w:r w:rsidRPr="00B24FD2">
        <w:t xml:space="preserve"> </w:t>
      </w:r>
      <w:r w:rsidRPr="00981E72">
        <w:rPr>
          <w:rFonts w:ascii="Times New Roman" w:hAnsi="Times New Roman"/>
          <w:sz w:val="24"/>
          <w:szCs w:val="24"/>
        </w:rPr>
        <w:t xml:space="preserve">«Про затвердження ставок земельного податку та розміру орендної плати на 2018 </w:t>
      </w:r>
      <w:proofErr w:type="gramStart"/>
      <w:r w:rsidRPr="00981E72">
        <w:rPr>
          <w:rFonts w:ascii="Times New Roman" w:hAnsi="Times New Roman"/>
          <w:sz w:val="24"/>
          <w:szCs w:val="24"/>
        </w:rPr>
        <w:t>р</w:t>
      </w:r>
      <w:proofErr w:type="gramEnd"/>
      <w:r w:rsidRPr="00981E72">
        <w:rPr>
          <w:rFonts w:ascii="Times New Roman" w:hAnsi="Times New Roman"/>
          <w:sz w:val="24"/>
          <w:szCs w:val="24"/>
        </w:rPr>
        <w:t>ік</w:t>
      </w:r>
      <w:r w:rsidRPr="00981E72">
        <w:rPr>
          <w:rFonts w:ascii="Times New Roman" w:hAnsi="Times New Roman"/>
          <w:noProof/>
          <w:sz w:val="24"/>
          <w:szCs w:val="24"/>
          <w:lang w:val="ru-RU"/>
        </w:rPr>
        <w:t>» такі зміни:</w:t>
      </w:r>
    </w:p>
    <w:p w:rsidR="00E90321" w:rsidRPr="007828EB" w:rsidRDefault="00E90321" w:rsidP="00E90321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1.1. </w:t>
      </w:r>
      <w:r>
        <w:rPr>
          <w:color w:val="000000"/>
          <w:shd w:val="clear" w:color="auto" w:fill="FFFFFF"/>
          <w:lang w:val="uk-UA"/>
        </w:rPr>
        <w:t>Д</w:t>
      </w:r>
      <w:proofErr w:type="spellStart"/>
      <w:r>
        <w:rPr>
          <w:color w:val="000000"/>
          <w:shd w:val="clear" w:color="auto" w:fill="FFFFFF"/>
        </w:rPr>
        <w:t>оповнити</w:t>
      </w:r>
      <w:proofErr w:type="spellEnd"/>
      <w:r>
        <w:rPr>
          <w:color w:val="000000"/>
          <w:shd w:val="clear" w:color="auto" w:fill="FFFFFF"/>
        </w:rPr>
        <w:t xml:space="preserve"> пунктом </w:t>
      </w:r>
      <w:r>
        <w:rPr>
          <w:color w:val="000000"/>
          <w:shd w:val="clear" w:color="auto" w:fill="FFFFFF"/>
          <w:lang w:val="uk-UA"/>
        </w:rPr>
        <w:t xml:space="preserve">10.1. </w:t>
      </w:r>
      <w:r w:rsidRPr="00981E72">
        <w:rPr>
          <w:color w:val="000000"/>
          <w:shd w:val="clear" w:color="auto" w:fill="FFFFFF"/>
        </w:rPr>
        <w:t xml:space="preserve"> такого </w:t>
      </w:r>
      <w:proofErr w:type="spellStart"/>
      <w:r w:rsidRPr="00981E72">
        <w:rPr>
          <w:color w:val="000000"/>
          <w:shd w:val="clear" w:color="auto" w:fill="FFFFFF"/>
        </w:rPr>
        <w:t>змісту</w:t>
      </w:r>
      <w:proofErr w:type="spellEnd"/>
      <w:r>
        <w:rPr>
          <w:color w:val="000000"/>
          <w:shd w:val="clear" w:color="auto" w:fill="FFFFFF"/>
          <w:lang w:val="uk-UA"/>
        </w:rPr>
        <w:t>:</w:t>
      </w:r>
    </w:p>
    <w:p w:rsidR="00E90321" w:rsidRPr="00981E72" w:rsidRDefault="00E90321" w:rsidP="00E90321">
      <w:pPr>
        <w:ind w:firstLine="708"/>
        <w:jc w:val="both"/>
        <w:rPr>
          <w:lang w:val="uk-UA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43"/>
        <w:gridCol w:w="56"/>
        <w:gridCol w:w="4332"/>
        <w:gridCol w:w="111"/>
        <w:gridCol w:w="1099"/>
        <w:gridCol w:w="973"/>
        <w:gridCol w:w="1210"/>
        <w:gridCol w:w="971"/>
      </w:tblGrid>
      <w:tr w:rsidR="00E90321" w:rsidRPr="00954E56" w:rsidTr="00A51FD6">
        <w:trPr>
          <w:tblHeader/>
        </w:trPr>
        <w:tc>
          <w:tcPr>
            <w:tcW w:w="274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1" w:rsidRPr="00954E56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E90321" w:rsidRPr="00954E56" w:rsidTr="00A51FD6">
        <w:trPr>
          <w:tblHeader/>
        </w:trPr>
        <w:tc>
          <w:tcPr>
            <w:tcW w:w="2749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954E56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954E56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1" w:rsidRPr="00954E56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90321" w:rsidRPr="008A3DA9" w:rsidTr="00A51FD6">
        <w:trPr>
          <w:tblHeader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E90321" w:rsidRPr="008A3DA9" w:rsidTr="00A51FD6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09                                         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E90321" w:rsidRPr="008A3DA9" w:rsidTr="00A51FD6">
        <w:trPr>
          <w:tblHeader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E90321" w:rsidRPr="008A3DA9" w:rsidTr="00A51FD6">
        <w:trPr>
          <w:tblHeader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</w:tr>
      <w:tr w:rsidR="00E90321" w:rsidRPr="008A3DA9" w:rsidTr="00A51FD6">
        <w:trPr>
          <w:tblHeader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8A3DA9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1" w:rsidRPr="00F27DC5" w:rsidRDefault="00E90321" w:rsidP="00A51FD6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E90321" w:rsidRPr="008A3DA9" w:rsidTr="00A51FD6">
        <w:tc>
          <w:tcPr>
            <w:tcW w:w="515" w:type="pct"/>
            <w:gridSpan w:val="2"/>
          </w:tcPr>
          <w:p w:rsidR="00E90321" w:rsidRPr="008A3DA9" w:rsidRDefault="00E90321" w:rsidP="00A51FD6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85" w:type="pct"/>
            <w:gridSpan w:val="6"/>
          </w:tcPr>
          <w:p w:rsidR="00E90321" w:rsidRPr="008A3DA9" w:rsidRDefault="00E90321" w:rsidP="00A51FD6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90321" w:rsidRPr="00954E56" w:rsidTr="00A51FD6">
        <w:trPr>
          <w:gridAfter w:val="4"/>
          <w:wAfter w:w="2193" w:type="pct"/>
        </w:trPr>
        <w:tc>
          <w:tcPr>
            <w:tcW w:w="515" w:type="pct"/>
            <w:gridSpan w:val="2"/>
          </w:tcPr>
          <w:p w:rsidR="00E90321" w:rsidRPr="008A3DA9" w:rsidRDefault="00E90321" w:rsidP="00A51FD6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1" w:type="pct"/>
            <w:gridSpan w:val="2"/>
          </w:tcPr>
          <w:p w:rsidR="00E90321" w:rsidRPr="00954E56" w:rsidRDefault="00E90321" w:rsidP="00A51FD6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90321" w:rsidRPr="008A3DA9" w:rsidTr="00A51FD6">
        <w:trPr>
          <w:gridAfter w:val="4"/>
          <w:wAfter w:w="2193" w:type="pct"/>
        </w:trPr>
        <w:tc>
          <w:tcPr>
            <w:tcW w:w="515" w:type="pct"/>
            <w:gridSpan w:val="2"/>
          </w:tcPr>
          <w:p w:rsidR="00E90321" w:rsidRPr="008A3DA9" w:rsidRDefault="00E90321" w:rsidP="00A51FD6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1" w:type="pct"/>
            <w:gridSpan w:val="2"/>
          </w:tcPr>
          <w:p w:rsidR="00E90321" w:rsidRPr="008A3DA9" w:rsidRDefault="00E90321" w:rsidP="00A51FD6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90321" w:rsidRPr="00954E56" w:rsidTr="00A51FD6">
        <w:trPr>
          <w:gridAfter w:val="4"/>
          <w:wAfter w:w="2193" w:type="pct"/>
        </w:trPr>
        <w:tc>
          <w:tcPr>
            <w:tcW w:w="515" w:type="pct"/>
            <w:gridSpan w:val="2"/>
          </w:tcPr>
          <w:p w:rsidR="00E90321" w:rsidRPr="008A3DA9" w:rsidRDefault="00E90321" w:rsidP="00A51FD6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1" w:type="pct"/>
            <w:gridSpan w:val="2"/>
          </w:tcPr>
          <w:p w:rsidR="00E90321" w:rsidRPr="00954E56" w:rsidRDefault="00E90321" w:rsidP="00A51FD6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E90321" w:rsidRPr="00981E72" w:rsidRDefault="00E90321" w:rsidP="00E90321">
      <w:pPr>
        <w:ind w:firstLine="708"/>
        <w:jc w:val="both"/>
        <w:rPr>
          <w:lang w:val="uk-UA"/>
        </w:rPr>
      </w:pPr>
    </w:p>
    <w:p w:rsidR="00E90321" w:rsidRPr="00EB659E" w:rsidRDefault="00E90321" w:rsidP="00E90321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 xml:space="preserve"> Оприлюднити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дане 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>рішення в засобах масової інформації або в інший можливий спосіб.</w:t>
      </w:r>
    </w:p>
    <w:p w:rsidR="00E90321" w:rsidRPr="00A32BF0" w:rsidRDefault="00E90321" w:rsidP="00E90321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3</w:t>
      </w:r>
      <w:r w:rsidRPr="00EB659E">
        <w:rPr>
          <w:rFonts w:ascii="Times New Roman" w:hAnsi="Times New Roman"/>
          <w:noProof/>
          <w:sz w:val="24"/>
          <w:szCs w:val="24"/>
          <w:lang w:val="ru-RU"/>
        </w:rPr>
        <w:t xml:space="preserve">. Контроль за виконанням рішення покласти на </w:t>
      </w:r>
      <w:r>
        <w:rPr>
          <w:rFonts w:ascii="Times New Roman" w:hAnsi="Times New Roman"/>
          <w:noProof/>
          <w:sz w:val="24"/>
          <w:szCs w:val="24"/>
        </w:rPr>
        <w:t>спеціаліста І-категорі селищної ради Тонюк Л.М. та касира  селищної ради Сумарук Г.І.</w:t>
      </w:r>
    </w:p>
    <w:p w:rsidR="00E90321" w:rsidRPr="00EB659E" w:rsidRDefault="00E90321" w:rsidP="00E90321">
      <w:pPr>
        <w:rPr>
          <w:lang w:val="uk-UA"/>
        </w:rPr>
      </w:pPr>
    </w:p>
    <w:p w:rsidR="00E90321" w:rsidRPr="00AC682E" w:rsidRDefault="00E90321" w:rsidP="00E90321">
      <w:pPr>
        <w:jc w:val="both"/>
        <w:rPr>
          <w:lang w:val="uk-UA"/>
        </w:rPr>
      </w:pPr>
    </w:p>
    <w:p w:rsidR="00E90321" w:rsidRPr="005A6796" w:rsidRDefault="00E90321" w:rsidP="00E90321">
      <w:pPr>
        <w:jc w:val="both"/>
        <w:rPr>
          <w:lang w:val="uk-UA"/>
        </w:rPr>
      </w:pPr>
    </w:p>
    <w:p w:rsidR="00E90321" w:rsidRPr="002141B8" w:rsidRDefault="00E90321" w:rsidP="00E90321">
      <w:pPr>
        <w:ind w:firstLine="708"/>
        <w:jc w:val="both"/>
        <w:rPr>
          <w:lang w:val="uk-UA"/>
        </w:rPr>
      </w:pPr>
    </w:p>
    <w:p w:rsidR="00E90321" w:rsidRDefault="00E90321" w:rsidP="00E90321">
      <w:pPr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>
        <w:rPr>
          <w:b/>
          <w:lang w:val="uk-UA"/>
        </w:rPr>
        <w:tab/>
      </w:r>
      <w:r w:rsidRPr="009B7325">
        <w:rPr>
          <w:b/>
          <w:lang w:val="uk-UA"/>
        </w:rPr>
        <w:t xml:space="preserve">Селищний голова                                                     Василь </w:t>
      </w:r>
      <w:proofErr w:type="spellStart"/>
      <w:r w:rsidRPr="009B7325">
        <w:rPr>
          <w:b/>
          <w:lang w:val="uk-UA"/>
        </w:rPr>
        <w:t>Мицканюк</w:t>
      </w:r>
      <w:proofErr w:type="spellEnd"/>
    </w:p>
    <w:p w:rsidR="00E90321" w:rsidRDefault="00E90321" w:rsidP="00E90321">
      <w:pPr>
        <w:rPr>
          <w:b/>
          <w:lang w:val="uk-UA"/>
        </w:rPr>
      </w:pPr>
    </w:p>
    <w:p w:rsidR="00E90321" w:rsidRDefault="00E90321" w:rsidP="00E90321">
      <w:pPr>
        <w:ind w:left="708" w:firstLine="708"/>
        <w:rPr>
          <w:b/>
          <w:lang w:val="uk-UA"/>
        </w:rPr>
      </w:pPr>
      <w:r w:rsidRPr="009B7325">
        <w:rPr>
          <w:b/>
          <w:lang w:val="uk-UA"/>
        </w:rPr>
        <w:t xml:space="preserve">Секретар ради                                                            Петро </w:t>
      </w:r>
      <w:proofErr w:type="spellStart"/>
      <w:r w:rsidRPr="009B7325">
        <w:rPr>
          <w:b/>
          <w:lang w:val="uk-UA"/>
        </w:rPr>
        <w:t>Антіпов</w:t>
      </w:r>
      <w:proofErr w:type="spellEnd"/>
    </w:p>
    <w:p w:rsidR="00E90321" w:rsidRPr="00A24AFF" w:rsidRDefault="00E90321" w:rsidP="00E90321">
      <w:pPr>
        <w:rPr>
          <w:lang w:val="uk-UA"/>
        </w:rPr>
      </w:pPr>
    </w:p>
    <w:p w:rsidR="00E90321" w:rsidRPr="00A24AFF" w:rsidRDefault="00E90321" w:rsidP="00E90321">
      <w:pPr>
        <w:rPr>
          <w:lang w:val="uk-UA"/>
        </w:rPr>
      </w:pPr>
    </w:p>
    <w:p w:rsidR="00E90321" w:rsidRDefault="00E90321" w:rsidP="00E90321">
      <w:pPr>
        <w:rPr>
          <w:lang w:val="uk-UA"/>
        </w:rPr>
      </w:pPr>
    </w:p>
    <w:p w:rsidR="006A181B" w:rsidRPr="00E90321" w:rsidRDefault="006A181B">
      <w:pPr>
        <w:rPr>
          <w:lang w:val="uk-UA"/>
        </w:rPr>
      </w:pPr>
    </w:p>
    <w:sectPr w:rsidR="006A181B" w:rsidRPr="00E90321" w:rsidSect="00E9032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0321"/>
    <w:rsid w:val="006A181B"/>
    <w:rsid w:val="00E9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9032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9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2018-09-24T06:52:00Z</dcterms:created>
  <dcterms:modified xsi:type="dcterms:W3CDTF">2018-09-24T06:55:00Z</dcterms:modified>
</cp:coreProperties>
</file>