
<file path=[Content_Types].xml><?xml version="1.0" encoding="utf-8"?>
<Types xmlns="http://schemas.openxmlformats.org/package/2006/content-types">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361" w:rsidRPr="00D96637" w:rsidRDefault="00AA4361" w:rsidP="00AA4361">
      <w:pPr>
        <w:jc w:val="center"/>
      </w:pPr>
      <w:r>
        <w:rPr>
          <w:noProof/>
          <w:lang w:val="uk-UA" w:eastAsia="uk-UA"/>
        </w:rPr>
        <w:drawing>
          <wp:inline distT="0" distB="0" distL="0" distR="0">
            <wp:extent cx="540385" cy="620395"/>
            <wp:effectExtent l="19050" t="0" r="0" b="0"/>
            <wp:docPr id="17" name="Рисунок 1"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1"/>
                    <pic:cNvPicPr>
                      <a:picLocks noChangeAspect="1" noChangeArrowheads="1"/>
                    </pic:cNvPicPr>
                  </pic:nvPicPr>
                  <pic:blipFill>
                    <a:blip r:embed="rId5"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AA4361" w:rsidRPr="00D96637" w:rsidRDefault="00AA4361" w:rsidP="00AA4361">
      <w:pPr>
        <w:jc w:val="center"/>
      </w:pPr>
      <w:proofErr w:type="spellStart"/>
      <w:r w:rsidRPr="00D96637">
        <w:t>Україна</w:t>
      </w:r>
      <w:proofErr w:type="spellEnd"/>
    </w:p>
    <w:p w:rsidR="00AA4361" w:rsidRDefault="00AA4361" w:rsidP="00AA4361">
      <w:pPr>
        <w:jc w:val="center"/>
        <w:rPr>
          <w:lang w:val="uk-UA"/>
        </w:rPr>
      </w:pPr>
      <w:proofErr w:type="spellStart"/>
      <w:r w:rsidRPr="00D96637">
        <w:t>Верховинська</w:t>
      </w:r>
      <w:proofErr w:type="spellEnd"/>
      <w:r w:rsidRPr="00D96637">
        <w:t xml:space="preserve"> </w:t>
      </w:r>
      <w:proofErr w:type="spellStart"/>
      <w:r w:rsidRPr="00D96637">
        <w:t>селищна</w:t>
      </w:r>
      <w:proofErr w:type="spellEnd"/>
      <w:r w:rsidRPr="00D96637">
        <w:t xml:space="preserve"> рада </w:t>
      </w:r>
    </w:p>
    <w:p w:rsidR="00AA4361" w:rsidRPr="00D96637" w:rsidRDefault="00AA4361" w:rsidP="00AA4361">
      <w:pPr>
        <w:jc w:val="center"/>
      </w:pPr>
      <w:proofErr w:type="spellStart"/>
      <w:r w:rsidRPr="00D96637">
        <w:t>Верховинського</w:t>
      </w:r>
      <w:proofErr w:type="spellEnd"/>
      <w:r w:rsidRPr="00D96637">
        <w:t xml:space="preserve"> району</w:t>
      </w:r>
      <w:r>
        <w:rPr>
          <w:lang w:val="uk-UA"/>
        </w:rPr>
        <w:t xml:space="preserve"> </w:t>
      </w:r>
      <w:proofErr w:type="spellStart"/>
      <w:r w:rsidRPr="00D96637">
        <w:t>Івано-Франківської</w:t>
      </w:r>
      <w:proofErr w:type="spellEnd"/>
      <w:r w:rsidRPr="00D96637">
        <w:t xml:space="preserve"> </w:t>
      </w:r>
      <w:proofErr w:type="spellStart"/>
      <w:r w:rsidRPr="00D96637">
        <w:t>області</w:t>
      </w:r>
      <w:proofErr w:type="spellEnd"/>
    </w:p>
    <w:p w:rsidR="00AA4361" w:rsidRPr="00D96637" w:rsidRDefault="00AA4361" w:rsidP="00AA4361">
      <w:pPr>
        <w:jc w:val="center"/>
      </w:pPr>
      <w:r>
        <w:rPr>
          <w:lang w:val="uk-UA"/>
        </w:rPr>
        <w:t>восьмого</w:t>
      </w:r>
      <w:r w:rsidRPr="00D96637">
        <w:t xml:space="preserve"> </w:t>
      </w:r>
      <w:proofErr w:type="spellStart"/>
      <w:r w:rsidRPr="00D96637">
        <w:t>скликання</w:t>
      </w:r>
      <w:proofErr w:type="spellEnd"/>
    </w:p>
    <w:p w:rsidR="00AA4361" w:rsidRDefault="00AA4361" w:rsidP="00AA4361">
      <w:pPr>
        <w:jc w:val="center"/>
        <w:rPr>
          <w:lang w:val="uk-UA"/>
        </w:rPr>
      </w:pPr>
      <w:r>
        <w:rPr>
          <w:lang w:val="uk-UA"/>
        </w:rPr>
        <w:t xml:space="preserve"> двадцять шоста  </w:t>
      </w:r>
      <w:r w:rsidRPr="00D96637">
        <w:t xml:space="preserve"> </w:t>
      </w:r>
      <w:proofErr w:type="spellStart"/>
      <w:r w:rsidRPr="00D96637">
        <w:t>сесія</w:t>
      </w:r>
      <w:proofErr w:type="spellEnd"/>
    </w:p>
    <w:p w:rsidR="00AA4361" w:rsidRPr="00B54DF7" w:rsidRDefault="00AA4361" w:rsidP="00AA4361">
      <w:pPr>
        <w:jc w:val="center"/>
        <w:rPr>
          <w:lang w:val="uk-UA"/>
        </w:rPr>
      </w:pPr>
      <w:r>
        <w:rPr>
          <w:lang w:val="uk-UA"/>
        </w:rPr>
        <w:t xml:space="preserve"> </w:t>
      </w:r>
      <w:r w:rsidRPr="00B54DF7">
        <w:rPr>
          <w:lang w:val="uk-UA"/>
        </w:rPr>
        <w:t>РІШЕННЯ</w:t>
      </w:r>
    </w:p>
    <w:p w:rsidR="00AA4361" w:rsidRPr="00D96637" w:rsidRDefault="00AA4361" w:rsidP="00AA4361">
      <w:pPr>
        <w:jc w:val="center"/>
      </w:pPr>
    </w:p>
    <w:p w:rsidR="00AA4361" w:rsidRPr="00147B75" w:rsidRDefault="00AA4361" w:rsidP="00AA4361">
      <w:pPr>
        <w:ind w:firstLine="708"/>
        <w:jc w:val="both"/>
      </w:pPr>
      <w:proofErr w:type="spellStart"/>
      <w:r w:rsidRPr="00147B75">
        <w:t>від</w:t>
      </w:r>
      <w:proofErr w:type="spellEnd"/>
      <w:r w:rsidRPr="00147B75">
        <w:t xml:space="preserve"> </w:t>
      </w:r>
      <w:r>
        <w:rPr>
          <w:lang w:val="uk-UA"/>
        </w:rPr>
        <w:t>27</w:t>
      </w:r>
      <w:r w:rsidRPr="00147B75">
        <w:t>.</w:t>
      </w:r>
      <w:r>
        <w:rPr>
          <w:lang w:val="uk-UA"/>
        </w:rPr>
        <w:t>04</w:t>
      </w:r>
      <w:r w:rsidRPr="00147B75">
        <w:t>.20</w:t>
      </w:r>
      <w:r>
        <w:rPr>
          <w:lang w:val="uk-UA"/>
        </w:rPr>
        <w:t>23</w:t>
      </w:r>
      <w:r w:rsidRPr="00147B75">
        <w:t xml:space="preserve"> року          </w:t>
      </w:r>
      <w:r w:rsidRPr="00147B75">
        <w:tab/>
      </w:r>
      <w:r w:rsidRPr="00147B75">
        <w:tab/>
      </w:r>
      <w:r w:rsidRPr="00147B75">
        <w:tab/>
        <w:t xml:space="preserve">    </w:t>
      </w:r>
      <w:r w:rsidRPr="00147B75">
        <w:rPr>
          <w:lang w:val="uk-UA"/>
        </w:rPr>
        <w:t xml:space="preserve">                                             </w:t>
      </w:r>
      <w:r w:rsidRPr="00147B75">
        <w:t xml:space="preserve"> </w:t>
      </w:r>
      <w:proofErr w:type="spellStart"/>
      <w:r w:rsidRPr="00147B75">
        <w:t>с-ще</w:t>
      </w:r>
      <w:proofErr w:type="spellEnd"/>
      <w:r w:rsidRPr="00147B75">
        <w:t xml:space="preserve"> Верховина</w:t>
      </w:r>
    </w:p>
    <w:p w:rsidR="00AA4361" w:rsidRPr="00147B75" w:rsidRDefault="00AA4361" w:rsidP="00AA4361">
      <w:pPr>
        <w:ind w:firstLine="708"/>
        <w:jc w:val="both"/>
        <w:rPr>
          <w:lang w:val="uk-UA"/>
        </w:rPr>
      </w:pPr>
      <w:r>
        <w:rPr>
          <w:lang w:val="uk-UA"/>
        </w:rPr>
        <w:t>№349-26/2023</w:t>
      </w:r>
    </w:p>
    <w:p w:rsidR="00AA4361" w:rsidRDefault="00AA4361" w:rsidP="00AA4361">
      <w:pPr>
        <w:rPr>
          <w:lang w:val="uk-UA"/>
        </w:rPr>
      </w:pPr>
    </w:p>
    <w:p w:rsidR="00AA4361" w:rsidRPr="00FF2490" w:rsidRDefault="00AA4361" w:rsidP="00AA4361">
      <w:pPr>
        <w:tabs>
          <w:tab w:val="center" w:pos="4628"/>
        </w:tabs>
        <w:ind w:right="38"/>
        <w:jc w:val="both"/>
        <w:rPr>
          <w:b/>
        </w:rPr>
      </w:pPr>
      <w:r w:rsidRPr="00FF2490">
        <w:rPr>
          <w:b/>
        </w:rPr>
        <w:t xml:space="preserve">Про </w:t>
      </w:r>
      <w:proofErr w:type="spellStart"/>
      <w:r w:rsidRPr="00FF2490">
        <w:rPr>
          <w:b/>
        </w:rPr>
        <w:t>затвердження</w:t>
      </w:r>
      <w:proofErr w:type="spellEnd"/>
      <w:r w:rsidRPr="00FF2490">
        <w:rPr>
          <w:b/>
        </w:rPr>
        <w:t xml:space="preserve"> </w:t>
      </w:r>
      <w:proofErr w:type="spellStart"/>
      <w:r w:rsidRPr="00FF2490">
        <w:rPr>
          <w:b/>
        </w:rPr>
        <w:t>зві</w:t>
      </w:r>
      <w:proofErr w:type="gramStart"/>
      <w:r w:rsidRPr="00FF2490">
        <w:rPr>
          <w:b/>
        </w:rPr>
        <w:t>ту</w:t>
      </w:r>
      <w:proofErr w:type="spellEnd"/>
      <w:proofErr w:type="gramEnd"/>
      <w:r w:rsidRPr="00FF2490">
        <w:rPr>
          <w:b/>
          <w:lang w:val="uk-UA"/>
        </w:rPr>
        <w:t xml:space="preserve"> </w:t>
      </w:r>
      <w:r w:rsidRPr="00FF2490">
        <w:rPr>
          <w:b/>
        </w:rPr>
        <w:t xml:space="preserve">про </w:t>
      </w:r>
      <w:proofErr w:type="spellStart"/>
      <w:r w:rsidRPr="00FF2490">
        <w:rPr>
          <w:b/>
        </w:rPr>
        <w:t>виконання</w:t>
      </w:r>
      <w:proofErr w:type="spellEnd"/>
    </w:p>
    <w:p w:rsidR="00AA4361" w:rsidRPr="00FF2490" w:rsidRDefault="00AA4361" w:rsidP="00AA4361">
      <w:pPr>
        <w:tabs>
          <w:tab w:val="center" w:pos="4628"/>
        </w:tabs>
        <w:ind w:right="38"/>
        <w:jc w:val="both"/>
        <w:rPr>
          <w:b/>
          <w:lang w:val="uk-UA"/>
        </w:rPr>
      </w:pPr>
      <w:r w:rsidRPr="00FF2490">
        <w:rPr>
          <w:b/>
        </w:rPr>
        <w:t xml:space="preserve">бюджету </w:t>
      </w:r>
      <w:proofErr w:type="spellStart"/>
      <w:r w:rsidRPr="00FF2490">
        <w:rPr>
          <w:b/>
        </w:rPr>
        <w:t>Верховинської</w:t>
      </w:r>
      <w:proofErr w:type="spellEnd"/>
      <w:r w:rsidRPr="00FF2490">
        <w:rPr>
          <w:b/>
        </w:rPr>
        <w:t xml:space="preserve"> </w:t>
      </w:r>
      <w:r w:rsidRPr="00FF2490">
        <w:rPr>
          <w:b/>
          <w:lang w:val="uk-UA"/>
        </w:rPr>
        <w:t xml:space="preserve">селищної </w:t>
      </w:r>
    </w:p>
    <w:p w:rsidR="00AA4361" w:rsidRPr="00FF2490" w:rsidRDefault="00AA4361" w:rsidP="00AA4361">
      <w:pPr>
        <w:tabs>
          <w:tab w:val="center" w:pos="4628"/>
        </w:tabs>
        <w:ind w:right="38"/>
        <w:jc w:val="both"/>
        <w:rPr>
          <w:b/>
          <w:lang w:val="uk-UA" w:eastAsia="uk-UA"/>
        </w:rPr>
      </w:pPr>
      <w:r w:rsidRPr="00FF2490">
        <w:rPr>
          <w:b/>
          <w:lang w:val="uk-UA"/>
        </w:rPr>
        <w:t>територіальної громади за І квартал 2023 року</w:t>
      </w:r>
    </w:p>
    <w:p w:rsidR="00AA4361" w:rsidRPr="00FF2490" w:rsidRDefault="00AA4361" w:rsidP="00AA4361">
      <w:pPr>
        <w:tabs>
          <w:tab w:val="center" w:pos="4628"/>
        </w:tabs>
        <w:ind w:right="38"/>
        <w:jc w:val="both"/>
        <w:rPr>
          <w:color w:val="2F2F2F"/>
          <w:lang w:val="uk-UA" w:eastAsia="uk-UA"/>
        </w:rPr>
      </w:pPr>
    </w:p>
    <w:p w:rsidR="00AA4361" w:rsidRPr="00852617" w:rsidRDefault="00AA4361" w:rsidP="00AA4361">
      <w:pPr>
        <w:ind w:firstLine="708"/>
        <w:jc w:val="both"/>
        <w:rPr>
          <w:lang w:val="uk-UA"/>
        </w:rPr>
      </w:pPr>
      <w:r w:rsidRPr="00FF2490">
        <w:rPr>
          <w:lang w:val="uk-UA" w:eastAsia="uk-UA"/>
        </w:rPr>
        <w:t xml:space="preserve">Керуючись статтею 26 Закону України «Про місцеве самоврядування в Україні», ст.80 Бюджетного кодексу України та Бюджетним регламентом Верховинської селищної ради, </w:t>
      </w:r>
      <w:r w:rsidRPr="00852617">
        <w:rPr>
          <w:lang w:val="uk-UA"/>
        </w:rPr>
        <w:t xml:space="preserve">сесія селищної ради </w:t>
      </w:r>
    </w:p>
    <w:p w:rsidR="00AA4361" w:rsidRPr="0032076E" w:rsidRDefault="00AA4361" w:rsidP="00AA4361">
      <w:pPr>
        <w:jc w:val="both"/>
        <w:rPr>
          <w:sz w:val="28"/>
          <w:szCs w:val="28"/>
          <w:lang w:val="uk-UA"/>
        </w:rPr>
      </w:pPr>
    </w:p>
    <w:p w:rsidR="00AA4361" w:rsidRPr="00AA4ED3" w:rsidRDefault="00AA4361" w:rsidP="00AA4361">
      <w:pPr>
        <w:jc w:val="center"/>
        <w:rPr>
          <w:lang w:val="uk-UA"/>
        </w:rPr>
      </w:pPr>
      <w:r>
        <w:rPr>
          <w:lang w:val="uk-UA"/>
        </w:rPr>
        <w:t>ВИРІШИЛА</w:t>
      </w:r>
      <w:r w:rsidRPr="00AA4ED3">
        <w:t>:</w:t>
      </w:r>
    </w:p>
    <w:p w:rsidR="00AA4361" w:rsidRPr="00FF2490" w:rsidRDefault="00AA4361" w:rsidP="00AA4361">
      <w:pPr>
        <w:tabs>
          <w:tab w:val="left" w:pos="0"/>
        </w:tabs>
        <w:ind w:firstLine="709"/>
        <w:jc w:val="center"/>
        <w:rPr>
          <w:b/>
          <w:lang w:val="uk-UA"/>
        </w:rPr>
      </w:pPr>
    </w:p>
    <w:p w:rsidR="00AA4361" w:rsidRDefault="00AA4361" w:rsidP="00AA4361">
      <w:pPr>
        <w:ind w:firstLine="709"/>
        <w:jc w:val="both"/>
        <w:rPr>
          <w:lang w:val="uk-UA"/>
        </w:rPr>
      </w:pPr>
      <w:r w:rsidRPr="00FF2490">
        <w:rPr>
          <w:lang w:eastAsia="uk-UA"/>
        </w:rPr>
        <w:t xml:space="preserve">1. </w:t>
      </w:r>
      <w:proofErr w:type="spellStart"/>
      <w:r w:rsidRPr="00FF2490">
        <w:t>Затвердити</w:t>
      </w:r>
      <w:proofErr w:type="spellEnd"/>
      <w:r w:rsidRPr="00FF2490">
        <w:t xml:space="preserve"> </w:t>
      </w:r>
      <w:proofErr w:type="spellStart"/>
      <w:r w:rsidRPr="00FF2490">
        <w:t>звіт</w:t>
      </w:r>
      <w:proofErr w:type="spellEnd"/>
      <w:r w:rsidRPr="00FF2490">
        <w:t xml:space="preserve"> про </w:t>
      </w:r>
      <w:proofErr w:type="spellStart"/>
      <w:r w:rsidRPr="00FF2490">
        <w:t>виконання</w:t>
      </w:r>
      <w:proofErr w:type="spellEnd"/>
      <w:r w:rsidRPr="00FF2490">
        <w:t xml:space="preserve"> бюджету </w:t>
      </w:r>
      <w:proofErr w:type="spellStart"/>
      <w:r w:rsidRPr="00FF2490">
        <w:t>Верховинської</w:t>
      </w:r>
      <w:proofErr w:type="spellEnd"/>
      <w:r w:rsidRPr="00FF2490">
        <w:t xml:space="preserve"> </w:t>
      </w:r>
      <w:proofErr w:type="spellStart"/>
      <w:r w:rsidRPr="00FF2490">
        <w:t>селищної</w:t>
      </w:r>
      <w:proofErr w:type="spellEnd"/>
      <w:r w:rsidRPr="00FF2490">
        <w:t xml:space="preserve"> </w:t>
      </w:r>
      <w:proofErr w:type="spellStart"/>
      <w:r w:rsidRPr="00FF2490">
        <w:t>територіальної</w:t>
      </w:r>
      <w:proofErr w:type="spellEnd"/>
      <w:r w:rsidRPr="00FF2490">
        <w:t xml:space="preserve"> </w:t>
      </w:r>
      <w:proofErr w:type="spellStart"/>
      <w:r w:rsidRPr="00FF2490">
        <w:t>громади</w:t>
      </w:r>
      <w:proofErr w:type="spellEnd"/>
      <w:r w:rsidRPr="00FF2490">
        <w:t xml:space="preserve"> за </w:t>
      </w:r>
      <w:r w:rsidRPr="00FF2490">
        <w:rPr>
          <w:lang w:val="uk-UA"/>
        </w:rPr>
        <w:t>І квартал</w:t>
      </w:r>
      <w:r w:rsidRPr="00FF2490">
        <w:t xml:space="preserve"> 202</w:t>
      </w:r>
      <w:r w:rsidRPr="00FF2490">
        <w:rPr>
          <w:lang w:val="uk-UA"/>
        </w:rPr>
        <w:t>3</w:t>
      </w:r>
      <w:r w:rsidRPr="00FF2490">
        <w:t xml:space="preserve"> року, а </w:t>
      </w:r>
      <w:proofErr w:type="spellStart"/>
      <w:r w:rsidRPr="00FF2490">
        <w:t>саме</w:t>
      </w:r>
      <w:proofErr w:type="spellEnd"/>
      <w:r w:rsidRPr="00FF2490">
        <w:t xml:space="preserve">: по доходах у </w:t>
      </w:r>
      <w:proofErr w:type="spellStart"/>
      <w:r w:rsidRPr="00FF2490">
        <w:t>сумі</w:t>
      </w:r>
      <w:proofErr w:type="spellEnd"/>
      <w:r w:rsidRPr="00FF2490">
        <w:t xml:space="preserve"> </w:t>
      </w:r>
      <w:r w:rsidRPr="00FF2490">
        <w:rPr>
          <w:lang w:val="uk-UA"/>
        </w:rPr>
        <w:t>56 313,5</w:t>
      </w:r>
      <w:r w:rsidRPr="00FF2490">
        <w:t xml:space="preserve"> тис</w:t>
      </w:r>
      <w:proofErr w:type="gramStart"/>
      <w:r w:rsidRPr="00FF2490">
        <w:t>.</w:t>
      </w:r>
      <w:proofErr w:type="gramEnd"/>
      <w:r w:rsidRPr="00FF2490">
        <w:t xml:space="preserve"> </w:t>
      </w:r>
      <w:proofErr w:type="spellStart"/>
      <w:proofErr w:type="gramStart"/>
      <w:r w:rsidRPr="00FF2490">
        <w:t>г</w:t>
      </w:r>
      <w:proofErr w:type="gramEnd"/>
      <w:r w:rsidRPr="00FF2490">
        <w:t>рн</w:t>
      </w:r>
      <w:proofErr w:type="spellEnd"/>
      <w:r w:rsidRPr="00FF2490">
        <w:t xml:space="preserve">., у тому </w:t>
      </w:r>
      <w:proofErr w:type="spellStart"/>
      <w:r w:rsidRPr="00FF2490">
        <w:t>числі</w:t>
      </w:r>
      <w:proofErr w:type="spellEnd"/>
      <w:r w:rsidRPr="00FF2490">
        <w:t xml:space="preserve"> по </w:t>
      </w:r>
      <w:proofErr w:type="spellStart"/>
      <w:r w:rsidRPr="00FF2490">
        <w:t>загальному</w:t>
      </w:r>
      <w:proofErr w:type="spellEnd"/>
      <w:r w:rsidRPr="00FF2490">
        <w:t xml:space="preserve"> фонду </w:t>
      </w:r>
      <w:r w:rsidRPr="00FF2490">
        <w:rPr>
          <w:lang w:val="uk-UA"/>
        </w:rPr>
        <w:t>54 960,8</w:t>
      </w:r>
      <w:r w:rsidRPr="00FF2490">
        <w:t xml:space="preserve"> тис. </w:t>
      </w:r>
      <w:proofErr w:type="spellStart"/>
      <w:r w:rsidRPr="00FF2490">
        <w:t>грн</w:t>
      </w:r>
      <w:proofErr w:type="spellEnd"/>
      <w:r w:rsidRPr="00FF2490">
        <w:t xml:space="preserve">., по </w:t>
      </w:r>
      <w:proofErr w:type="spellStart"/>
      <w:r w:rsidRPr="00FF2490">
        <w:t>спеціальному</w:t>
      </w:r>
      <w:proofErr w:type="spellEnd"/>
      <w:r w:rsidRPr="00FF2490">
        <w:t xml:space="preserve"> фонду   </w:t>
      </w:r>
      <w:r w:rsidRPr="00FF2490">
        <w:rPr>
          <w:lang w:val="uk-UA"/>
        </w:rPr>
        <w:t>1 352,7</w:t>
      </w:r>
      <w:r w:rsidRPr="00FF2490">
        <w:t xml:space="preserve"> тис. </w:t>
      </w:r>
      <w:proofErr w:type="spellStart"/>
      <w:r w:rsidRPr="00FF2490">
        <w:t>грн</w:t>
      </w:r>
      <w:proofErr w:type="spellEnd"/>
      <w:r w:rsidRPr="00FF2490">
        <w:t xml:space="preserve">.; по </w:t>
      </w:r>
      <w:proofErr w:type="spellStart"/>
      <w:r w:rsidRPr="00FF2490">
        <w:t>видатках</w:t>
      </w:r>
      <w:proofErr w:type="spellEnd"/>
      <w:r w:rsidRPr="00FF2490">
        <w:t xml:space="preserve"> у </w:t>
      </w:r>
      <w:proofErr w:type="spellStart"/>
      <w:r w:rsidRPr="00FF2490">
        <w:t>сумі</w:t>
      </w:r>
      <w:proofErr w:type="spellEnd"/>
      <w:r w:rsidRPr="00FF2490">
        <w:t xml:space="preserve"> </w:t>
      </w:r>
      <w:r w:rsidRPr="00FF2490">
        <w:rPr>
          <w:lang w:val="uk-UA"/>
        </w:rPr>
        <w:t xml:space="preserve">59 637,2 </w:t>
      </w:r>
      <w:r w:rsidRPr="00FF2490">
        <w:t xml:space="preserve">тис. </w:t>
      </w:r>
      <w:proofErr w:type="spellStart"/>
      <w:r w:rsidRPr="00FF2490">
        <w:t>грн</w:t>
      </w:r>
      <w:proofErr w:type="spellEnd"/>
      <w:r w:rsidRPr="00FF2490">
        <w:t xml:space="preserve">., у тому </w:t>
      </w:r>
      <w:proofErr w:type="spellStart"/>
      <w:r w:rsidRPr="00FF2490">
        <w:t>числі</w:t>
      </w:r>
      <w:proofErr w:type="spellEnd"/>
      <w:r w:rsidRPr="00FF2490">
        <w:t xml:space="preserve"> по </w:t>
      </w:r>
      <w:proofErr w:type="spellStart"/>
      <w:r w:rsidRPr="00FF2490">
        <w:t>загальному</w:t>
      </w:r>
      <w:proofErr w:type="spellEnd"/>
      <w:r w:rsidRPr="00FF2490">
        <w:t xml:space="preserve"> фонду  </w:t>
      </w:r>
      <w:r w:rsidRPr="00FF2490">
        <w:rPr>
          <w:lang w:val="uk-UA"/>
        </w:rPr>
        <w:t>54 034,6 тис. грн., спеціальному  5 602,6 тис. грн.</w:t>
      </w:r>
    </w:p>
    <w:p w:rsidR="00AA4361" w:rsidRPr="00FF2490" w:rsidRDefault="00AA4361" w:rsidP="00AA4361">
      <w:pPr>
        <w:ind w:firstLine="709"/>
        <w:jc w:val="both"/>
        <w:rPr>
          <w:lang w:val="uk-UA"/>
        </w:rPr>
      </w:pPr>
    </w:p>
    <w:p w:rsidR="00AA4361" w:rsidRPr="00AA4ED3" w:rsidRDefault="00AA4361" w:rsidP="00AA4361">
      <w:pPr>
        <w:pStyle w:val="a7"/>
        <w:ind w:firstLine="709"/>
        <w:jc w:val="both"/>
        <w:rPr>
          <w:rFonts w:ascii="Times New Roman" w:hAnsi="Times New Roman"/>
          <w:sz w:val="24"/>
          <w:szCs w:val="24"/>
          <w:lang w:eastAsia="uk-UA"/>
        </w:rPr>
      </w:pPr>
      <w:r w:rsidRPr="00FF2490">
        <w:rPr>
          <w:rFonts w:ascii="Times New Roman" w:hAnsi="Times New Roman"/>
          <w:sz w:val="24"/>
          <w:szCs w:val="24"/>
          <w:lang w:eastAsia="uk-UA"/>
        </w:rPr>
        <w:t xml:space="preserve">2. </w:t>
      </w:r>
      <w:r w:rsidRPr="00AA4ED3">
        <w:rPr>
          <w:rFonts w:ascii="Times New Roman" w:hAnsi="Times New Roman"/>
          <w:sz w:val="24"/>
          <w:szCs w:val="24"/>
          <w:lang w:eastAsia="uk-UA"/>
        </w:rPr>
        <w:t xml:space="preserve">Контроль за виконанням рішення покласти на  постійну комісію з  питань </w:t>
      </w:r>
      <w:r w:rsidRPr="00AA4ED3">
        <w:rPr>
          <w:rStyle w:val="a3"/>
          <w:rFonts w:ascii="Times New Roman" w:hAnsi="Times New Roman"/>
          <w:b w:val="0"/>
          <w:sz w:val="24"/>
          <w:szCs w:val="24"/>
        </w:rPr>
        <w:t>соціального захисту, фінансів, бюджету, планування соціально-економічного розвитку інвестицій, міжнародного співробітництва та у справах учасників АТО</w:t>
      </w:r>
      <w:r w:rsidRPr="00AA4ED3">
        <w:rPr>
          <w:rFonts w:ascii="Times New Roman" w:hAnsi="Times New Roman"/>
          <w:sz w:val="24"/>
          <w:szCs w:val="24"/>
        </w:rPr>
        <w:t xml:space="preserve"> (Я.</w:t>
      </w:r>
      <w:proofErr w:type="spellStart"/>
      <w:r w:rsidRPr="00AA4ED3">
        <w:rPr>
          <w:rFonts w:ascii="Times New Roman" w:hAnsi="Times New Roman"/>
          <w:sz w:val="24"/>
          <w:szCs w:val="24"/>
        </w:rPr>
        <w:t>Стефурак</w:t>
      </w:r>
      <w:proofErr w:type="spellEnd"/>
      <w:r w:rsidRPr="00AA4ED3">
        <w:rPr>
          <w:rFonts w:ascii="Times New Roman" w:hAnsi="Times New Roman"/>
          <w:sz w:val="24"/>
          <w:szCs w:val="24"/>
        </w:rPr>
        <w:t>).</w:t>
      </w:r>
    </w:p>
    <w:p w:rsidR="00AA4361" w:rsidRPr="00435C9A" w:rsidRDefault="00AA4361" w:rsidP="00AA4361">
      <w:pPr>
        <w:rPr>
          <w:lang w:val="uk-UA"/>
        </w:rPr>
      </w:pPr>
    </w:p>
    <w:p w:rsidR="00AA4361" w:rsidRDefault="00AA4361" w:rsidP="00AA4361">
      <w:pPr>
        <w:rPr>
          <w:lang w:val="uk-UA"/>
        </w:rPr>
      </w:pPr>
    </w:p>
    <w:p w:rsidR="00AA4361" w:rsidRPr="00AA4ED3" w:rsidRDefault="00AA4361" w:rsidP="00AA4361">
      <w:pPr>
        <w:ind w:left="708" w:firstLine="708"/>
        <w:rPr>
          <w:b/>
          <w:lang w:val="uk-UA"/>
        </w:rPr>
      </w:pPr>
    </w:p>
    <w:p w:rsidR="00AA4361" w:rsidRDefault="00AA4361" w:rsidP="00AA4361">
      <w:pPr>
        <w:ind w:left="708" w:firstLine="708"/>
        <w:rPr>
          <w:b/>
          <w:lang w:val="uk-UA"/>
        </w:rPr>
      </w:pPr>
    </w:p>
    <w:p w:rsidR="00AA4361" w:rsidRPr="00341F61" w:rsidRDefault="00AA4361" w:rsidP="00AA4361">
      <w:pPr>
        <w:ind w:left="708" w:firstLine="708"/>
        <w:rPr>
          <w:b/>
          <w:lang w:val="uk-UA"/>
        </w:rPr>
      </w:pPr>
    </w:p>
    <w:p w:rsidR="00AA4361" w:rsidRDefault="00AA4361" w:rsidP="00AA4361">
      <w:pPr>
        <w:ind w:left="708" w:firstLine="708"/>
        <w:rPr>
          <w:b/>
          <w:lang w:val="uk-UA"/>
        </w:rPr>
      </w:pPr>
      <w:proofErr w:type="spellStart"/>
      <w:r w:rsidRPr="00EC5DA7">
        <w:rPr>
          <w:b/>
        </w:rPr>
        <w:t>Селищний</w:t>
      </w:r>
      <w:proofErr w:type="spellEnd"/>
      <w:r w:rsidRPr="00EC5DA7">
        <w:rPr>
          <w:b/>
        </w:rPr>
        <w:t xml:space="preserve"> голова                                                        Василь МИЦКАНЮК</w:t>
      </w:r>
    </w:p>
    <w:p w:rsidR="00AA4361" w:rsidRDefault="00AA4361" w:rsidP="00AA4361">
      <w:pPr>
        <w:ind w:firstLine="708"/>
        <w:rPr>
          <w:b/>
          <w:lang w:val="uk-UA"/>
        </w:rPr>
      </w:pPr>
    </w:p>
    <w:p w:rsidR="00AA4361" w:rsidRDefault="00AA4361" w:rsidP="00AA4361">
      <w:pPr>
        <w:ind w:left="708" w:firstLine="708"/>
        <w:rPr>
          <w:b/>
          <w:lang w:val="uk-UA"/>
        </w:rPr>
      </w:pPr>
      <w:r>
        <w:rPr>
          <w:b/>
          <w:lang w:val="uk-UA"/>
        </w:rPr>
        <w:t>Секретар ради                                                              Петро АНТІПОВ</w:t>
      </w:r>
    </w:p>
    <w:p w:rsidR="00AA4361" w:rsidRPr="00DC7FD0"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130812" w:rsidRDefault="00130812" w:rsidP="00AA4361">
      <w:pPr>
        <w:rPr>
          <w:lang w:val="uk-UA"/>
        </w:rPr>
      </w:pPr>
    </w:p>
    <w:p w:rsidR="00130812" w:rsidRDefault="00130812" w:rsidP="00AA4361">
      <w:pPr>
        <w:rPr>
          <w:lang w:val="uk-UA"/>
        </w:rPr>
      </w:pPr>
    </w:p>
    <w:p w:rsidR="00AA4361" w:rsidRDefault="00AA4361" w:rsidP="00AA4361">
      <w:pPr>
        <w:rPr>
          <w:lang w:val="uk-UA"/>
        </w:rPr>
      </w:pPr>
    </w:p>
    <w:p w:rsidR="00AA4361" w:rsidRPr="00EE64DD" w:rsidRDefault="00AA4361" w:rsidP="00AA4361">
      <w:pPr>
        <w:jc w:val="center"/>
        <w:rPr>
          <w:b/>
        </w:rPr>
      </w:pPr>
      <w:r w:rsidRPr="00EE64DD">
        <w:rPr>
          <w:b/>
        </w:rPr>
        <w:lastRenderedPageBreak/>
        <w:t>ЗВІТ</w:t>
      </w:r>
    </w:p>
    <w:p w:rsidR="00AA4361" w:rsidRPr="00EE64DD" w:rsidRDefault="00AA4361" w:rsidP="00AA4361">
      <w:pPr>
        <w:ind w:right="-68"/>
        <w:jc w:val="center"/>
        <w:rPr>
          <w:b/>
        </w:rPr>
      </w:pPr>
      <w:r w:rsidRPr="00EE64DD">
        <w:rPr>
          <w:b/>
        </w:rPr>
        <w:t xml:space="preserve">про </w:t>
      </w:r>
      <w:proofErr w:type="spellStart"/>
      <w:r w:rsidRPr="00EE64DD">
        <w:rPr>
          <w:b/>
        </w:rPr>
        <w:t>виконання</w:t>
      </w:r>
      <w:proofErr w:type="spellEnd"/>
      <w:r w:rsidRPr="00EE64DD">
        <w:rPr>
          <w:b/>
        </w:rPr>
        <w:t xml:space="preserve"> бюджету </w:t>
      </w:r>
      <w:proofErr w:type="spellStart"/>
      <w:r w:rsidRPr="00EE64DD">
        <w:rPr>
          <w:b/>
        </w:rPr>
        <w:t>Верховинської</w:t>
      </w:r>
      <w:proofErr w:type="spellEnd"/>
      <w:r w:rsidRPr="00EE64DD">
        <w:rPr>
          <w:b/>
        </w:rPr>
        <w:t xml:space="preserve"> </w:t>
      </w:r>
      <w:r w:rsidRPr="00EE64DD">
        <w:rPr>
          <w:b/>
          <w:lang w:val="uk-UA"/>
        </w:rPr>
        <w:t xml:space="preserve">селищної </w:t>
      </w:r>
      <w:proofErr w:type="spellStart"/>
      <w:r w:rsidRPr="00EE64DD">
        <w:rPr>
          <w:b/>
        </w:rPr>
        <w:t>територіальної</w:t>
      </w:r>
      <w:proofErr w:type="spellEnd"/>
      <w:r w:rsidRPr="00EE64DD">
        <w:rPr>
          <w:b/>
        </w:rPr>
        <w:t xml:space="preserve"> </w:t>
      </w:r>
      <w:proofErr w:type="spellStart"/>
      <w:r w:rsidRPr="00EE64DD">
        <w:rPr>
          <w:b/>
        </w:rPr>
        <w:t>громади</w:t>
      </w:r>
      <w:proofErr w:type="spellEnd"/>
    </w:p>
    <w:p w:rsidR="00AA4361" w:rsidRPr="00EE64DD" w:rsidRDefault="00AA4361" w:rsidP="00AA4361">
      <w:pPr>
        <w:ind w:right="-68"/>
        <w:jc w:val="center"/>
        <w:rPr>
          <w:b/>
        </w:rPr>
      </w:pPr>
      <w:r w:rsidRPr="00EE64DD">
        <w:rPr>
          <w:b/>
        </w:rPr>
        <w:t xml:space="preserve">за </w:t>
      </w:r>
      <w:r w:rsidRPr="00EE64DD">
        <w:rPr>
          <w:b/>
          <w:lang w:val="uk-UA"/>
        </w:rPr>
        <w:t>І квартал</w:t>
      </w:r>
      <w:r w:rsidRPr="00EE64DD">
        <w:rPr>
          <w:b/>
        </w:rPr>
        <w:t xml:space="preserve"> 202</w:t>
      </w:r>
      <w:r w:rsidRPr="00EE64DD">
        <w:rPr>
          <w:b/>
          <w:lang w:val="uk-UA"/>
        </w:rPr>
        <w:t>3</w:t>
      </w:r>
      <w:r w:rsidRPr="00EE64DD">
        <w:rPr>
          <w:b/>
        </w:rPr>
        <w:t xml:space="preserve"> року.</w:t>
      </w:r>
    </w:p>
    <w:p w:rsidR="00AA4361" w:rsidRPr="00EE64DD" w:rsidRDefault="00AA4361" w:rsidP="00AA4361">
      <w:pPr>
        <w:tabs>
          <w:tab w:val="left" w:pos="720"/>
        </w:tabs>
        <w:ind w:firstLine="709"/>
        <w:jc w:val="both"/>
        <w:rPr>
          <w:color w:val="FF0000"/>
          <w:lang w:val="uk-UA"/>
        </w:rPr>
      </w:pPr>
      <w:r w:rsidRPr="00EE64DD">
        <w:rPr>
          <w:color w:val="FF0000"/>
          <w:lang w:val="uk-UA"/>
        </w:rPr>
        <w:t xml:space="preserve">                                  </w:t>
      </w:r>
    </w:p>
    <w:p w:rsidR="00AA4361" w:rsidRPr="00EE64DD" w:rsidRDefault="00AA4361" w:rsidP="00AA4361">
      <w:pPr>
        <w:tabs>
          <w:tab w:val="left" w:pos="720"/>
        </w:tabs>
        <w:ind w:firstLine="709"/>
        <w:jc w:val="center"/>
        <w:rPr>
          <w:b/>
          <w:i/>
          <w:color w:val="000000"/>
          <w:lang w:val="uk-UA"/>
        </w:rPr>
      </w:pPr>
      <w:r w:rsidRPr="00EE64DD">
        <w:rPr>
          <w:b/>
          <w:i/>
          <w:color w:val="000000"/>
          <w:lang w:val="uk-UA"/>
        </w:rPr>
        <w:t>ДОХІДНА ЧАСТИНА БЮДЖЕТУ</w:t>
      </w:r>
    </w:p>
    <w:p w:rsidR="00AA4361" w:rsidRPr="00EE64DD" w:rsidRDefault="00AA4361" w:rsidP="00AA4361">
      <w:pPr>
        <w:tabs>
          <w:tab w:val="left" w:pos="720"/>
        </w:tabs>
        <w:ind w:firstLine="709"/>
        <w:jc w:val="both"/>
        <w:rPr>
          <w:b/>
          <w:i/>
          <w:color w:val="000000"/>
          <w:lang w:val="uk-UA"/>
        </w:rPr>
      </w:pPr>
    </w:p>
    <w:p w:rsidR="00AA4361" w:rsidRPr="00EE64DD" w:rsidRDefault="00AA4361" w:rsidP="00AA4361">
      <w:pPr>
        <w:ind w:firstLine="567"/>
        <w:jc w:val="both"/>
        <w:rPr>
          <w:lang w:val="uk-UA"/>
        </w:rPr>
      </w:pPr>
      <w:r w:rsidRPr="00EE64DD">
        <w:t xml:space="preserve">До </w:t>
      </w:r>
      <w:proofErr w:type="spellStart"/>
      <w:r w:rsidRPr="00EE64DD">
        <w:rPr>
          <w:b/>
        </w:rPr>
        <w:t>загального</w:t>
      </w:r>
      <w:proofErr w:type="spellEnd"/>
      <w:r w:rsidRPr="00EE64DD">
        <w:rPr>
          <w:b/>
        </w:rPr>
        <w:t xml:space="preserve"> фонду</w:t>
      </w:r>
      <w:r w:rsidRPr="00EE64DD">
        <w:t xml:space="preserve"> </w:t>
      </w:r>
      <w:proofErr w:type="spellStart"/>
      <w:r w:rsidRPr="00EE64DD">
        <w:t>селищного</w:t>
      </w:r>
      <w:proofErr w:type="spellEnd"/>
      <w:r w:rsidRPr="00EE64DD">
        <w:t xml:space="preserve"> бюджету </w:t>
      </w:r>
      <w:r w:rsidRPr="00EE64DD">
        <w:rPr>
          <w:lang w:val="uk-UA"/>
        </w:rPr>
        <w:t xml:space="preserve">з врахуванням офіційних </w:t>
      </w:r>
      <w:proofErr w:type="spellStart"/>
      <w:r w:rsidRPr="00EE64DD">
        <w:rPr>
          <w:lang w:val="uk-UA"/>
        </w:rPr>
        <w:t>трансертів</w:t>
      </w:r>
      <w:proofErr w:type="spellEnd"/>
      <w:r w:rsidRPr="00EE64DD">
        <w:rPr>
          <w:lang w:val="uk-UA"/>
        </w:rPr>
        <w:t xml:space="preserve"> </w:t>
      </w:r>
      <w:proofErr w:type="spellStart"/>
      <w:r w:rsidRPr="00EE64DD">
        <w:t>надійшло</w:t>
      </w:r>
      <w:proofErr w:type="spellEnd"/>
      <w:r w:rsidRPr="00EE64DD">
        <w:t xml:space="preserve"> </w:t>
      </w:r>
      <w:r w:rsidRPr="00EE64DD">
        <w:rPr>
          <w:lang w:val="uk-UA"/>
        </w:rPr>
        <w:t>54 960,8</w:t>
      </w:r>
      <w:r w:rsidRPr="00EE64DD">
        <w:t xml:space="preserve"> тис</w:t>
      </w:r>
      <w:proofErr w:type="gramStart"/>
      <w:r w:rsidRPr="00EE64DD">
        <w:t>.</w:t>
      </w:r>
      <w:proofErr w:type="gramEnd"/>
      <w:r w:rsidRPr="00EE64DD">
        <w:rPr>
          <w:lang w:val="uk-UA"/>
        </w:rPr>
        <w:t xml:space="preserve"> </w:t>
      </w:r>
      <w:proofErr w:type="spellStart"/>
      <w:proofErr w:type="gramStart"/>
      <w:r w:rsidRPr="00EE64DD">
        <w:t>г</w:t>
      </w:r>
      <w:proofErr w:type="gramEnd"/>
      <w:r w:rsidRPr="00EE64DD">
        <w:t>рн</w:t>
      </w:r>
      <w:proofErr w:type="spellEnd"/>
      <w:r w:rsidRPr="00EE64DD">
        <w:t xml:space="preserve">., </w:t>
      </w:r>
      <w:proofErr w:type="spellStart"/>
      <w:r w:rsidRPr="00EE64DD">
        <w:t>що</w:t>
      </w:r>
      <w:proofErr w:type="spellEnd"/>
      <w:r w:rsidRPr="00EE64DD">
        <w:t xml:space="preserve"> становить </w:t>
      </w:r>
      <w:r w:rsidRPr="00EE64DD">
        <w:rPr>
          <w:lang w:val="uk-UA"/>
        </w:rPr>
        <w:t>99,5</w:t>
      </w:r>
      <w:r w:rsidRPr="00EE64DD">
        <w:t xml:space="preserve"> </w:t>
      </w:r>
      <w:r w:rsidRPr="00EE64DD">
        <w:rPr>
          <w:lang w:val="uk-UA"/>
        </w:rPr>
        <w:t>відсотки</w:t>
      </w:r>
      <w:r w:rsidRPr="00EE64DD">
        <w:t xml:space="preserve"> до </w:t>
      </w:r>
      <w:proofErr w:type="spellStart"/>
      <w:r w:rsidRPr="00EE64DD">
        <w:t>уточнених</w:t>
      </w:r>
      <w:proofErr w:type="spellEnd"/>
      <w:r w:rsidRPr="00EE64DD">
        <w:t xml:space="preserve"> </w:t>
      </w:r>
      <w:proofErr w:type="spellStart"/>
      <w:r w:rsidRPr="00EE64DD">
        <w:t>показників</w:t>
      </w:r>
      <w:proofErr w:type="spellEnd"/>
      <w:r w:rsidRPr="00EE64DD">
        <w:t xml:space="preserve"> (</w:t>
      </w:r>
      <w:r w:rsidRPr="00EE64DD">
        <w:rPr>
          <w:lang w:val="uk-UA"/>
        </w:rPr>
        <w:t xml:space="preserve">55 248,6 </w:t>
      </w:r>
      <w:r w:rsidRPr="00EE64DD">
        <w:t>тис.</w:t>
      </w:r>
      <w:r w:rsidRPr="00EE64DD">
        <w:rPr>
          <w:lang w:val="uk-UA"/>
        </w:rPr>
        <w:t xml:space="preserve"> </w:t>
      </w:r>
      <w:proofErr w:type="spellStart"/>
      <w:r w:rsidRPr="00EE64DD">
        <w:t>грн</w:t>
      </w:r>
      <w:proofErr w:type="spellEnd"/>
      <w:r w:rsidRPr="00EE64DD">
        <w:t>.)</w:t>
      </w:r>
      <w:r w:rsidRPr="00EE64DD">
        <w:rPr>
          <w:lang w:val="uk-UA"/>
        </w:rPr>
        <w:t xml:space="preserve">.  </w:t>
      </w:r>
      <w:r w:rsidRPr="00EE64DD">
        <w:t xml:space="preserve">У </w:t>
      </w:r>
      <w:proofErr w:type="spellStart"/>
      <w:r w:rsidRPr="00EE64DD">
        <w:t>порівнянні</w:t>
      </w:r>
      <w:proofErr w:type="spellEnd"/>
      <w:r w:rsidRPr="00EE64DD">
        <w:t xml:space="preserve"> </w:t>
      </w:r>
      <w:proofErr w:type="spellStart"/>
      <w:r w:rsidRPr="00EE64DD">
        <w:rPr>
          <w:shd w:val="clear" w:color="auto" w:fill="FFFFFF"/>
        </w:rPr>
        <w:t>з</w:t>
      </w:r>
      <w:proofErr w:type="spellEnd"/>
      <w:r w:rsidRPr="00EE64DD">
        <w:rPr>
          <w:shd w:val="clear" w:color="auto" w:fill="FFFFFF"/>
        </w:rPr>
        <w:t xml:space="preserve"> </w:t>
      </w:r>
      <w:r w:rsidRPr="00EE64DD">
        <w:rPr>
          <w:shd w:val="clear" w:color="auto" w:fill="FFFFFF"/>
          <w:lang w:val="uk-UA"/>
        </w:rPr>
        <w:t xml:space="preserve">аналогічним періодом </w:t>
      </w:r>
      <w:r w:rsidRPr="00EE64DD">
        <w:rPr>
          <w:shd w:val="clear" w:color="auto" w:fill="FFFFFF"/>
        </w:rPr>
        <w:t>20</w:t>
      </w:r>
      <w:r w:rsidRPr="00EE64DD">
        <w:rPr>
          <w:shd w:val="clear" w:color="auto" w:fill="FFFFFF"/>
          <w:lang w:val="uk-UA"/>
        </w:rPr>
        <w:t>22</w:t>
      </w:r>
      <w:r w:rsidRPr="00EE64DD">
        <w:rPr>
          <w:shd w:val="clear" w:color="auto" w:fill="FFFFFF"/>
        </w:rPr>
        <w:t xml:space="preserve"> рок</w:t>
      </w:r>
      <w:r w:rsidRPr="00EE64DD">
        <w:rPr>
          <w:shd w:val="clear" w:color="auto" w:fill="FFFFFF"/>
          <w:lang w:val="uk-UA"/>
        </w:rPr>
        <w:t>у</w:t>
      </w:r>
      <w:r w:rsidRPr="00EE64DD">
        <w:rPr>
          <w:shd w:val="clear" w:color="auto" w:fill="FFFFFF"/>
        </w:rPr>
        <w:t xml:space="preserve"> доходи </w:t>
      </w:r>
      <w:proofErr w:type="spellStart"/>
      <w:r w:rsidRPr="00EE64DD">
        <w:rPr>
          <w:shd w:val="clear" w:color="auto" w:fill="FFFFFF"/>
        </w:rPr>
        <w:t>зросли</w:t>
      </w:r>
      <w:proofErr w:type="spellEnd"/>
      <w:r w:rsidRPr="00EE64DD">
        <w:t xml:space="preserve"> на </w:t>
      </w:r>
      <w:r w:rsidRPr="00EE64DD">
        <w:rPr>
          <w:lang w:val="uk-UA"/>
        </w:rPr>
        <w:t xml:space="preserve">1 076,3 </w:t>
      </w:r>
      <w:proofErr w:type="spellStart"/>
      <w:r w:rsidRPr="00EE64DD">
        <w:t>тис</w:t>
      </w:r>
      <w:proofErr w:type="gramStart"/>
      <w:r w:rsidRPr="00EE64DD">
        <w:t>.г</w:t>
      </w:r>
      <w:proofErr w:type="gramEnd"/>
      <w:r w:rsidRPr="00EE64DD">
        <w:t>рн</w:t>
      </w:r>
      <w:proofErr w:type="spellEnd"/>
      <w:r w:rsidRPr="00EE64DD">
        <w:t>.</w:t>
      </w:r>
    </w:p>
    <w:p w:rsidR="00AA4361" w:rsidRPr="00EE64DD" w:rsidRDefault="00AA4361" w:rsidP="00AA4361">
      <w:pPr>
        <w:tabs>
          <w:tab w:val="left" w:pos="720"/>
        </w:tabs>
        <w:ind w:firstLine="709"/>
        <w:jc w:val="both"/>
      </w:pPr>
      <w:proofErr w:type="spellStart"/>
      <w:r w:rsidRPr="00EE64DD">
        <w:t>Виконання</w:t>
      </w:r>
      <w:proofErr w:type="spellEnd"/>
      <w:r w:rsidRPr="00EE64DD">
        <w:t xml:space="preserve"> </w:t>
      </w:r>
      <w:proofErr w:type="spellStart"/>
      <w:r w:rsidRPr="00EE64DD">
        <w:t>податкових</w:t>
      </w:r>
      <w:proofErr w:type="spellEnd"/>
      <w:r w:rsidRPr="00EE64DD">
        <w:t xml:space="preserve"> та </w:t>
      </w:r>
      <w:proofErr w:type="spellStart"/>
      <w:r w:rsidRPr="00EE64DD">
        <w:t>неподаткових</w:t>
      </w:r>
      <w:proofErr w:type="spellEnd"/>
      <w:r w:rsidRPr="00EE64DD">
        <w:t xml:space="preserve"> </w:t>
      </w:r>
      <w:proofErr w:type="spellStart"/>
      <w:r w:rsidRPr="00EE64DD">
        <w:t>доходів</w:t>
      </w:r>
      <w:proofErr w:type="spellEnd"/>
      <w:r w:rsidRPr="00EE64DD">
        <w:t xml:space="preserve"> (</w:t>
      </w:r>
      <w:proofErr w:type="spellStart"/>
      <w:r w:rsidRPr="00EE64DD">
        <w:t>власних</w:t>
      </w:r>
      <w:proofErr w:type="spellEnd"/>
      <w:r w:rsidRPr="00EE64DD">
        <w:t xml:space="preserve"> </w:t>
      </w:r>
      <w:proofErr w:type="spellStart"/>
      <w:r w:rsidRPr="00EE64DD">
        <w:t>надходжень</w:t>
      </w:r>
      <w:proofErr w:type="spellEnd"/>
      <w:r w:rsidRPr="00EE64DD">
        <w:t xml:space="preserve">) </w:t>
      </w:r>
      <w:proofErr w:type="spellStart"/>
      <w:r w:rsidRPr="00EE64DD">
        <w:t>загального</w:t>
      </w:r>
      <w:proofErr w:type="spellEnd"/>
      <w:r w:rsidRPr="00EE64DD">
        <w:t xml:space="preserve"> фонду бюджету </w:t>
      </w:r>
      <w:proofErr w:type="spellStart"/>
      <w:r w:rsidRPr="00EE64DD">
        <w:t>Верховинської</w:t>
      </w:r>
      <w:proofErr w:type="spellEnd"/>
      <w:r w:rsidRPr="00EE64DD">
        <w:t xml:space="preserve"> </w:t>
      </w:r>
      <w:r w:rsidRPr="00EE64DD">
        <w:rPr>
          <w:lang w:val="uk-UA"/>
        </w:rPr>
        <w:t xml:space="preserve">селищної </w:t>
      </w:r>
      <w:proofErr w:type="spellStart"/>
      <w:r w:rsidRPr="00EE64DD">
        <w:t>територіальної</w:t>
      </w:r>
      <w:proofErr w:type="spellEnd"/>
      <w:r w:rsidRPr="00EE64DD">
        <w:t xml:space="preserve"> </w:t>
      </w:r>
      <w:proofErr w:type="spellStart"/>
      <w:r w:rsidRPr="00EE64DD">
        <w:t>громади</w:t>
      </w:r>
      <w:proofErr w:type="spellEnd"/>
      <w:r w:rsidRPr="00EE64DD">
        <w:t xml:space="preserve"> за І квартал</w:t>
      </w:r>
      <w:r w:rsidRPr="00EE64DD">
        <w:rPr>
          <w:lang w:val="uk-UA"/>
        </w:rPr>
        <w:t xml:space="preserve"> </w:t>
      </w:r>
      <w:r w:rsidRPr="00EE64DD">
        <w:t>202</w:t>
      </w:r>
      <w:r w:rsidRPr="00EE64DD">
        <w:rPr>
          <w:lang w:val="uk-UA"/>
        </w:rPr>
        <w:t>3</w:t>
      </w:r>
      <w:r w:rsidRPr="00EE64DD">
        <w:t xml:space="preserve"> року становить </w:t>
      </w:r>
      <w:r w:rsidRPr="00EE64DD">
        <w:rPr>
          <w:lang w:val="uk-UA"/>
        </w:rPr>
        <w:t>17 409,1</w:t>
      </w:r>
      <w:r w:rsidRPr="00EE64DD">
        <w:t xml:space="preserve"> тис</w:t>
      </w:r>
      <w:proofErr w:type="gramStart"/>
      <w:r w:rsidRPr="00EE64DD">
        <w:t>.</w:t>
      </w:r>
      <w:proofErr w:type="gramEnd"/>
      <w:r w:rsidRPr="00EE64DD">
        <w:t xml:space="preserve"> </w:t>
      </w:r>
      <w:proofErr w:type="spellStart"/>
      <w:proofErr w:type="gramStart"/>
      <w:r w:rsidRPr="00EE64DD">
        <w:t>г</w:t>
      </w:r>
      <w:proofErr w:type="gramEnd"/>
      <w:r w:rsidRPr="00EE64DD">
        <w:t>рн</w:t>
      </w:r>
      <w:proofErr w:type="spellEnd"/>
      <w:r w:rsidRPr="00EE64DD">
        <w:t xml:space="preserve">., </w:t>
      </w:r>
      <w:proofErr w:type="spellStart"/>
      <w:r w:rsidRPr="00EE64DD">
        <w:t>що</w:t>
      </w:r>
      <w:proofErr w:type="spellEnd"/>
      <w:r w:rsidRPr="00EE64DD">
        <w:t xml:space="preserve"> </w:t>
      </w:r>
      <w:proofErr w:type="spellStart"/>
      <w:r w:rsidRPr="00EE64DD">
        <w:t>складає</w:t>
      </w:r>
      <w:proofErr w:type="spellEnd"/>
      <w:r w:rsidRPr="00EE64DD">
        <w:t xml:space="preserve"> 10</w:t>
      </w:r>
      <w:r w:rsidRPr="00EE64DD">
        <w:rPr>
          <w:lang w:val="uk-UA"/>
        </w:rPr>
        <w:t>5</w:t>
      </w:r>
      <w:r w:rsidRPr="00EE64DD">
        <w:t>,</w:t>
      </w:r>
      <w:r w:rsidRPr="00EE64DD">
        <w:rPr>
          <w:lang w:val="uk-UA"/>
        </w:rPr>
        <w:t xml:space="preserve">8 </w:t>
      </w:r>
      <w:r w:rsidRPr="00EE64DD">
        <w:t xml:space="preserve">% </w:t>
      </w:r>
      <w:proofErr w:type="spellStart"/>
      <w:r w:rsidRPr="00EE64DD">
        <w:t>відсотк</w:t>
      </w:r>
      <w:proofErr w:type="spellEnd"/>
      <w:r w:rsidRPr="00EE64DD">
        <w:rPr>
          <w:lang w:val="uk-UA"/>
        </w:rPr>
        <w:t>и</w:t>
      </w:r>
      <w:r w:rsidRPr="00EE64DD">
        <w:t xml:space="preserve"> до </w:t>
      </w:r>
      <w:proofErr w:type="spellStart"/>
      <w:r w:rsidRPr="00EE64DD">
        <w:t>уточненого</w:t>
      </w:r>
      <w:proofErr w:type="spellEnd"/>
      <w:r w:rsidRPr="00EE64DD">
        <w:t xml:space="preserve"> плану на </w:t>
      </w:r>
      <w:proofErr w:type="spellStart"/>
      <w:r w:rsidRPr="00EE64DD">
        <w:t>вказаний</w:t>
      </w:r>
      <w:proofErr w:type="spellEnd"/>
      <w:r w:rsidRPr="00EE64DD">
        <w:t xml:space="preserve"> </w:t>
      </w:r>
      <w:proofErr w:type="spellStart"/>
      <w:r w:rsidRPr="00EE64DD">
        <w:t>період</w:t>
      </w:r>
      <w:proofErr w:type="spellEnd"/>
      <w:r w:rsidRPr="00EE64DD">
        <w:t xml:space="preserve"> (уточнений план за </w:t>
      </w:r>
      <w:proofErr w:type="spellStart"/>
      <w:r w:rsidRPr="00EE64DD">
        <w:t>період</w:t>
      </w:r>
      <w:proofErr w:type="spellEnd"/>
      <w:r w:rsidRPr="00EE64DD">
        <w:t xml:space="preserve"> – </w:t>
      </w:r>
      <w:r w:rsidRPr="00EE64DD">
        <w:rPr>
          <w:lang w:val="uk-UA"/>
        </w:rPr>
        <w:t>16 456,0</w:t>
      </w:r>
      <w:r w:rsidRPr="00EE64DD">
        <w:t xml:space="preserve"> тис. </w:t>
      </w:r>
      <w:proofErr w:type="spellStart"/>
      <w:r w:rsidRPr="00EE64DD">
        <w:t>грн</w:t>
      </w:r>
      <w:proofErr w:type="spellEnd"/>
      <w:r w:rsidRPr="00EE64DD">
        <w:t xml:space="preserve">.). </w:t>
      </w:r>
    </w:p>
    <w:p w:rsidR="00AA4361" w:rsidRPr="00EE64DD" w:rsidRDefault="00AA4361" w:rsidP="00AA4361">
      <w:pPr>
        <w:tabs>
          <w:tab w:val="left" w:pos="720"/>
        </w:tabs>
        <w:ind w:firstLine="709"/>
        <w:jc w:val="center"/>
        <w:rPr>
          <w:b/>
          <w:lang w:val="uk-UA"/>
        </w:rPr>
      </w:pPr>
      <w:r w:rsidRPr="00EE64DD">
        <w:rPr>
          <w:b/>
          <w:lang w:val="uk-UA"/>
        </w:rPr>
        <w:t>Структура доходів загального фонду бюджету громади</w:t>
      </w:r>
    </w:p>
    <w:p w:rsidR="00AA4361" w:rsidRPr="00EE64DD" w:rsidRDefault="00AA4361" w:rsidP="00AA4361">
      <w:pPr>
        <w:tabs>
          <w:tab w:val="left" w:pos="720"/>
        </w:tabs>
        <w:ind w:firstLine="709"/>
        <w:jc w:val="center"/>
        <w:rPr>
          <w:b/>
          <w:lang w:val="uk-UA"/>
        </w:rPr>
      </w:pPr>
      <w:r w:rsidRPr="00EE64DD">
        <w:rPr>
          <w:b/>
          <w:lang w:val="uk-UA"/>
        </w:rPr>
        <w:t xml:space="preserve">з офіційними трансфертами за </w:t>
      </w:r>
      <w:proofErr w:type="spellStart"/>
      <w:r w:rsidRPr="00EE64DD">
        <w:rPr>
          <w:b/>
          <w:lang w:val="uk-UA"/>
        </w:rPr>
        <w:t>січень-</w:t>
      </w:r>
      <w:proofErr w:type="spellEnd"/>
      <w:r w:rsidRPr="00EE64DD">
        <w:rPr>
          <w:b/>
          <w:lang w:val="uk-UA"/>
        </w:rPr>
        <w:t xml:space="preserve"> березень 2022-2023 роки</w:t>
      </w:r>
    </w:p>
    <w:p w:rsidR="00AA4361" w:rsidRPr="00EE64DD" w:rsidRDefault="00AA4361" w:rsidP="00AA4361">
      <w:pPr>
        <w:tabs>
          <w:tab w:val="left" w:pos="720"/>
          <w:tab w:val="left" w:pos="4632"/>
          <w:tab w:val="center" w:pos="5244"/>
        </w:tabs>
        <w:ind w:firstLine="709"/>
        <w:rPr>
          <w:noProof/>
          <w:lang w:val="uk-UA" w:eastAsia="uk-UA"/>
        </w:rPr>
      </w:pPr>
      <w:r w:rsidRPr="00EE64DD">
        <w:rPr>
          <w:lang w:val="uk-UA"/>
        </w:rPr>
        <w:tab/>
      </w:r>
      <w:r w:rsidRPr="00EE64DD">
        <w:rPr>
          <w:lang w:val="uk-UA"/>
        </w:rPr>
        <w:tab/>
        <w:t xml:space="preserve">                                                              </w:t>
      </w:r>
      <w:r w:rsidRPr="00EE64DD">
        <w:rPr>
          <w:lang w:val="uk-UA"/>
        </w:rPr>
        <w:tab/>
      </w:r>
      <w:proofErr w:type="spellStart"/>
      <w:r w:rsidRPr="00EE64DD">
        <w:rPr>
          <w:lang w:val="uk-UA"/>
        </w:rPr>
        <w:t>тис.грн</w:t>
      </w:r>
      <w:proofErr w:type="spellEnd"/>
      <w:r w:rsidRPr="00EE64DD">
        <w:rPr>
          <w:lang w:val="uk-UA"/>
        </w:rPr>
        <w:t>.</w:t>
      </w:r>
    </w:p>
    <w:p w:rsidR="00AA4361" w:rsidRPr="00EE64DD" w:rsidRDefault="00AA4361" w:rsidP="00AA4361">
      <w:pPr>
        <w:tabs>
          <w:tab w:val="left" w:pos="720"/>
          <w:tab w:val="left" w:pos="4632"/>
          <w:tab w:val="center" w:pos="5244"/>
        </w:tabs>
        <w:rPr>
          <w:noProof/>
          <w:lang w:val="uk-UA" w:eastAsia="uk-UA"/>
        </w:rPr>
      </w:pPr>
      <w:r w:rsidRPr="00EE64DD">
        <w:rPr>
          <w:noProof/>
          <w:lang w:val="uk-UA" w:eastAsia="uk-UA"/>
        </w:rPr>
        <w:drawing>
          <wp:inline distT="0" distB="0" distL="0" distR="0">
            <wp:extent cx="6313170" cy="2282190"/>
            <wp:effectExtent l="0" t="0" r="0" b="0"/>
            <wp:docPr id="16"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A4361" w:rsidRPr="00EE64DD" w:rsidRDefault="00AA4361" w:rsidP="00AA4361">
      <w:pPr>
        <w:tabs>
          <w:tab w:val="left" w:pos="720"/>
        </w:tabs>
        <w:ind w:firstLine="709"/>
        <w:jc w:val="center"/>
        <w:rPr>
          <w:b/>
          <w:lang w:val="uk-UA"/>
        </w:rPr>
      </w:pPr>
      <w:r w:rsidRPr="00EE64DD">
        <w:rPr>
          <w:b/>
          <w:lang w:val="uk-UA"/>
        </w:rPr>
        <w:t xml:space="preserve">Порівняльний аналіз власних надходжень бюджету громади </w:t>
      </w:r>
    </w:p>
    <w:p w:rsidR="00AA4361" w:rsidRPr="00EE64DD" w:rsidRDefault="00AA4361" w:rsidP="00AA4361">
      <w:pPr>
        <w:tabs>
          <w:tab w:val="left" w:pos="720"/>
        </w:tabs>
        <w:ind w:firstLine="709"/>
        <w:jc w:val="center"/>
        <w:rPr>
          <w:b/>
          <w:lang w:val="uk-UA"/>
        </w:rPr>
      </w:pPr>
      <w:r w:rsidRPr="00EE64DD">
        <w:rPr>
          <w:b/>
          <w:lang w:val="uk-UA"/>
        </w:rPr>
        <w:t>за січень - березень 2022-2023 роки</w:t>
      </w:r>
    </w:p>
    <w:p w:rsidR="00AA4361" w:rsidRPr="00EE64DD" w:rsidRDefault="00AA4361" w:rsidP="00AA4361">
      <w:pPr>
        <w:tabs>
          <w:tab w:val="left" w:pos="0"/>
          <w:tab w:val="left" w:pos="8496"/>
        </w:tabs>
        <w:ind w:firstLine="709"/>
        <w:jc w:val="both"/>
        <w:rPr>
          <w:lang w:val="uk-UA"/>
        </w:rPr>
      </w:pPr>
      <w:r w:rsidRPr="00EE64DD">
        <w:rPr>
          <w:color w:val="FF0000"/>
          <w:lang w:val="uk-UA"/>
        </w:rPr>
        <w:t xml:space="preserve">              </w:t>
      </w:r>
      <w:r w:rsidRPr="00EE64DD">
        <w:rPr>
          <w:color w:val="FF0000"/>
          <w:lang w:val="uk-UA"/>
        </w:rPr>
        <w:tab/>
      </w:r>
      <w:proofErr w:type="spellStart"/>
      <w:r w:rsidRPr="00EE64DD">
        <w:rPr>
          <w:lang w:val="uk-UA"/>
        </w:rPr>
        <w:t>тис.грн</w:t>
      </w:r>
      <w:proofErr w:type="spellEnd"/>
      <w:r w:rsidRPr="00EE64DD">
        <w:rPr>
          <w:lang w:val="uk-UA"/>
        </w:rPr>
        <w:t>.</w:t>
      </w:r>
    </w:p>
    <w:p w:rsidR="00AA4361" w:rsidRPr="00EE64DD" w:rsidRDefault="00AA4361" w:rsidP="00AA4361">
      <w:pPr>
        <w:tabs>
          <w:tab w:val="left" w:pos="1005"/>
        </w:tabs>
        <w:rPr>
          <w:lang w:val="uk-UA"/>
        </w:rPr>
      </w:pPr>
      <w:r w:rsidRPr="00EE64DD">
        <w:rPr>
          <w:noProof/>
          <w:lang w:val="uk-UA" w:eastAsia="uk-UA"/>
        </w:rPr>
        <w:drawing>
          <wp:inline distT="0" distB="0" distL="0" distR="0">
            <wp:extent cx="6226175" cy="2600325"/>
            <wp:effectExtent l="0" t="0" r="0" b="0"/>
            <wp:docPr id="15"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A4361" w:rsidRPr="00EE64DD" w:rsidRDefault="00AA4361" w:rsidP="00AA4361">
      <w:pPr>
        <w:tabs>
          <w:tab w:val="left" w:pos="720"/>
          <w:tab w:val="left" w:pos="4632"/>
          <w:tab w:val="center" w:pos="5244"/>
        </w:tabs>
        <w:ind w:firstLine="709"/>
        <w:jc w:val="both"/>
        <w:rPr>
          <w:lang w:val="uk-UA"/>
        </w:rPr>
      </w:pPr>
      <w:r w:rsidRPr="00EE64DD">
        <w:rPr>
          <w:lang w:val="uk-UA"/>
        </w:rPr>
        <w:t>Як свідчить</w:t>
      </w:r>
      <w:r w:rsidRPr="00EE64DD">
        <w:rPr>
          <w:b/>
          <w:lang w:val="uk-UA"/>
        </w:rPr>
        <w:t xml:space="preserve"> </w:t>
      </w:r>
      <w:r w:rsidRPr="00EE64DD">
        <w:rPr>
          <w:lang w:val="uk-UA"/>
        </w:rPr>
        <w:t xml:space="preserve">динаміка надходжень до загального фонду бюджету Верховинської селищної територіальної громади (податкові та неподаткові надходження) </w:t>
      </w:r>
      <w:r w:rsidRPr="00EE64DD">
        <w:rPr>
          <w:b/>
          <w:lang w:val="uk-UA"/>
        </w:rPr>
        <w:t>найбільш вагомим дохідним джерелом наповнення бюджету селища є податок з доходів фізичних осіб</w:t>
      </w:r>
      <w:r w:rsidRPr="00EE64DD">
        <w:rPr>
          <w:lang w:val="uk-UA"/>
        </w:rPr>
        <w:t xml:space="preserve">, за рахунок якого  сформовано 71,0 відсоток ресурсів загального фонду (власних надходжень) або 12 352,6 тис. грн. </w:t>
      </w:r>
    </w:p>
    <w:p w:rsidR="00AA4361" w:rsidRPr="00EE64DD" w:rsidRDefault="00AA4361" w:rsidP="00AA4361">
      <w:pPr>
        <w:ind w:firstLine="709"/>
        <w:jc w:val="both"/>
      </w:pPr>
      <w:r w:rsidRPr="00EE64DD">
        <w:t xml:space="preserve">Структура </w:t>
      </w:r>
      <w:proofErr w:type="spellStart"/>
      <w:r w:rsidRPr="00EE64DD">
        <w:t>зарахування</w:t>
      </w:r>
      <w:proofErr w:type="spellEnd"/>
      <w:r w:rsidRPr="00EE64DD">
        <w:t xml:space="preserve"> </w:t>
      </w:r>
      <w:proofErr w:type="spellStart"/>
      <w:r w:rsidRPr="00EE64DD">
        <w:t>податку</w:t>
      </w:r>
      <w:proofErr w:type="spellEnd"/>
      <w:r w:rsidRPr="00EE64DD">
        <w:t xml:space="preserve"> на доходи </w:t>
      </w:r>
      <w:proofErr w:type="spellStart"/>
      <w:r w:rsidRPr="00EE64DD">
        <w:t>фізичних</w:t>
      </w:r>
      <w:proofErr w:type="spellEnd"/>
      <w:r w:rsidRPr="00EE64DD">
        <w:t xml:space="preserve"> </w:t>
      </w:r>
      <w:proofErr w:type="spellStart"/>
      <w:r w:rsidRPr="00EE64DD">
        <w:t>осіб</w:t>
      </w:r>
      <w:proofErr w:type="spellEnd"/>
      <w:r w:rsidRPr="00EE64DD">
        <w:t xml:space="preserve"> в </w:t>
      </w:r>
      <w:proofErr w:type="spellStart"/>
      <w:r w:rsidRPr="00EE64DD">
        <w:t>розрізі</w:t>
      </w:r>
      <w:proofErr w:type="spellEnd"/>
      <w:r w:rsidRPr="00EE64DD">
        <w:t xml:space="preserve"> </w:t>
      </w:r>
      <w:proofErr w:type="spellStart"/>
      <w:r w:rsidRPr="00EE64DD">
        <w:t>його</w:t>
      </w:r>
      <w:proofErr w:type="spellEnd"/>
      <w:r w:rsidRPr="00EE64DD">
        <w:t xml:space="preserve"> </w:t>
      </w:r>
      <w:proofErr w:type="spellStart"/>
      <w:r w:rsidRPr="00EE64DD">
        <w:t>окремих</w:t>
      </w:r>
      <w:proofErr w:type="spellEnd"/>
      <w:r w:rsidRPr="00EE64DD">
        <w:t xml:space="preserve"> </w:t>
      </w:r>
      <w:proofErr w:type="spellStart"/>
      <w:r w:rsidRPr="00EE64DD">
        <w:t>складових</w:t>
      </w:r>
      <w:proofErr w:type="spellEnd"/>
      <w:r w:rsidRPr="00EE64DD">
        <w:t xml:space="preserve"> за І квартал</w:t>
      </w:r>
      <w:r w:rsidRPr="00EE64DD">
        <w:rPr>
          <w:lang w:val="uk-UA"/>
        </w:rPr>
        <w:t xml:space="preserve"> </w:t>
      </w:r>
      <w:r w:rsidRPr="00EE64DD">
        <w:t>202</w:t>
      </w:r>
      <w:r w:rsidRPr="00EE64DD">
        <w:rPr>
          <w:lang w:val="uk-UA"/>
        </w:rPr>
        <w:t>3</w:t>
      </w:r>
      <w:r w:rsidRPr="00EE64DD">
        <w:t xml:space="preserve"> року (</w:t>
      </w:r>
      <w:proofErr w:type="gramStart"/>
      <w:r w:rsidRPr="00EE64DD">
        <w:t>за</w:t>
      </w:r>
      <w:proofErr w:type="gramEnd"/>
      <w:r w:rsidRPr="00EE64DD">
        <w:t xml:space="preserve"> </w:t>
      </w:r>
      <w:proofErr w:type="spellStart"/>
      <w:r w:rsidRPr="00EE64DD">
        <w:t>відповідний</w:t>
      </w:r>
      <w:proofErr w:type="spellEnd"/>
      <w:r w:rsidRPr="00EE64DD">
        <w:t xml:space="preserve"> </w:t>
      </w:r>
      <w:proofErr w:type="spellStart"/>
      <w:r w:rsidRPr="00EE64DD">
        <w:t>період</w:t>
      </w:r>
      <w:proofErr w:type="spellEnd"/>
      <w:r w:rsidRPr="00EE64DD">
        <w:t xml:space="preserve"> 202</w:t>
      </w:r>
      <w:r w:rsidRPr="00EE64DD">
        <w:rPr>
          <w:lang w:val="uk-UA"/>
        </w:rPr>
        <w:t>2</w:t>
      </w:r>
      <w:r w:rsidRPr="00EE64DD">
        <w:t xml:space="preserve"> року): </w:t>
      </w:r>
    </w:p>
    <w:p w:rsidR="00AA4361" w:rsidRPr="00EE64DD" w:rsidRDefault="00AA4361" w:rsidP="00AA4361">
      <w:pPr>
        <w:numPr>
          <w:ilvl w:val="0"/>
          <w:numId w:val="6"/>
        </w:numPr>
        <w:ind w:left="0" w:firstLine="709"/>
        <w:jc w:val="both"/>
      </w:pPr>
      <w:r w:rsidRPr="00EE64DD">
        <w:rPr>
          <w:lang w:val="uk-UA"/>
        </w:rPr>
        <w:lastRenderedPageBreak/>
        <w:t xml:space="preserve">податок, що сплачується </w:t>
      </w:r>
      <w:proofErr w:type="spellStart"/>
      <w:r w:rsidRPr="00EE64DD">
        <w:t>податковими</w:t>
      </w:r>
      <w:proofErr w:type="spellEnd"/>
      <w:r w:rsidRPr="00EE64DD">
        <w:t xml:space="preserve"> агентами, </w:t>
      </w:r>
      <w:proofErr w:type="spellStart"/>
      <w:r w:rsidRPr="00EE64DD">
        <w:t>із</w:t>
      </w:r>
      <w:proofErr w:type="spellEnd"/>
      <w:r w:rsidRPr="00EE64DD">
        <w:t xml:space="preserve"> </w:t>
      </w:r>
      <w:proofErr w:type="spellStart"/>
      <w:r w:rsidRPr="00EE64DD">
        <w:t>доходів</w:t>
      </w:r>
      <w:proofErr w:type="spellEnd"/>
      <w:r w:rsidRPr="00EE64DD">
        <w:t xml:space="preserve"> </w:t>
      </w:r>
      <w:proofErr w:type="spellStart"/>
      <w:r w:rsidRPr="00EE64DD">
        <w:t>платника</w:t>
      </w:r>
      <w:proofErr w:type="spellEnd"/>
      <w:r w:rsidRPr="00EE64DD">
        <w:t xml:space="preserve"> </w:t>
      </w:r>
      <w:proofErr w:type="spellStart"/>
      <w:r w:rsidRPr="00EE64DD">
        <w:t>податку</w:t>
      </w:r>
      <w:proofErr w:type="spellEnd"/>
      <w:r w:rsidRPr="00EE64DD">
        <w:t xml:space="preserve"> у </w:t>
      </w:r>
      <w:proofErr w:type="spellStart"/>
      <w:r w:rsidRPr="00EE64DD">
        <w:t>вигляді</w:t>
      </w:r>
      <w:proofErr w:type="spellEnd"/>
      <w:r w:rsidRPr="00EE64DD">
        <w:t xml:space="preserve"> </w:t>
      </w:r>
      <w:proofErr w:type="spellStart"/>
      <w:r w:rsidRPr="00EE64DD">
        <w:t>заробітної</w:t>
      </w:r>
      <w:proofErr w:type="spellEnd"/>
      <w:r w:rsidRPr="00EE64DD">
        <w:t xml:space="preserve"> плати – </w:t>
      </w:r>
      <w:r w:rsidRPr="00EE64DD">
        <w:rPr>
          <w:lang w:val="uk-UA"/>
        </w:rPr>
        <w:t>77,9</w:t>
      </w:r>
      <w:r w:rsidRPr="00EE64DD">
        <w:t xml:space="preserve"> (</w:t>
      </w:r>
      <w:r w:rsidRPr="00EE64DD">
        <w:rPr>
          <w:lang w:val="uk-UA"/>
        </w:rPr>
        <w:t>84,2) відсотки;</w:t>
      </w:r>
      <w:r w:rsidRPr="00EE64DD">
        <w:t xml:space="preserve"> </w:t>
      </w:r>
    </w:p>
    <w:p w:rsidR="00AA4361" w:rsidRPr="00EE64DD" w:rsidRDefault="00AA4361" w:rsidP="00AA4361">
      <w:pPr>
        <w:numPr>
          <w:ilvl w:val="0"/>
          <w:numId w:val="6"/>
        </w:numPr>
        <w:ind w:left="0" w:firstLine="709"/>
        <w:jc w:val="both"/>
      </w:pPr>
      <w:r w:rsidRPr="00EE64DD">
        <w:rPr>
          <w:color w:val="000000"/>
          <w:lang w:val="uk-UA" w:eastAsia="uk-UA"/>
        </w:rPr>
        <w:t>п</w:t>
      </w:r>
      <w:proofErr w:type="spellStart"/>
      <w:r w:rsidRPr="00EE64DD">
        <w:rPr>
          <w:color w:val="000000"/>
          <w:lang w:eastAsia="uk-UA"/>
        </w:rPr>
        <w:t>одаток</w:t>
      </w:r>
      <w:proofErr w:type="spellEnd"/>
      <w:r w:rsidRPr="00EE64DD">
        <w:rPr>
          <w:color w:val="000000"/>
          <w:lang w:eastAsia="uk-UA"/>
        </w:rPr>
        <w:t xml:space="preserve"> на доходи </w:t>
      </w:r>
      <w:proofErr w:type="spellStart"/>
      <w:r w:rsidRPr="00EE64DD">
        <w:rPr>
          <w:color w:val="000000"/>
          <w:lang w:eastAsia="uk-UA"/>
        </w:rPr>
        <w:t>фізичних</w:t>
      </w:r>
      <w:proofErr w:type="spellEnd"/>
      <w:r w:rsidRPr="00EE64DD">
        <w:rPr>
          <w:color w:val="000000"/>
          <w:lang w:eastAsia="uk-UA"/>
        </w:rPr>
        <w:t xml:space="preserve"> </w:t>
      </w:r>
      <w:proofErr w:type="spellStart"/>
      <w:r w:rsidRPr="00EE64DD">
        <w:rPr>
          <w:color w:val="000000"/>
          <w:lang w:eastAsia="uk-UA"/>
        </w:rPr>
        <w:t>осіб</w:t>
      </w:r>
      <w:proofErr w:type="spellEnd"/>
      <w:r w:rsidRPr="00EE64DD">
        <w:rPr>
          <w:color w:val="000000"/>
          <w:lang w:eastAsia="uk-UA"/>
        </w:rPr>
        <w:t xml:space="preserve"> </w:t>
      </w:r>
      <w:proofErr w:type="spellStart"/>
      <w:r w:rsidRPr="00EE64DD">
        <w:rPr>
          <w:color w:val="000000"/>
          <w:lang w:eastAsia="uk-UA"/>
        </w:rPr>
        <w:t>з</w:t>
      </w:r>
      <w:proofErr w:type="spellEnd"/>
      <w:r w:rsidRPr="00EE64DD">
        <w:rPr>
          <w:color w:val="000000"/>
          <w:lang w:eastAsia="uk-UA"/>
        </w:rPr>
        <w:t xml:space="preserve"> грошового </w:t>
      </w:r>
      <w:proofErr w:type="spellStart"/>
      <w:r w:rsidRPr="00EE64DD">
        <w:rPr>
          <w:color w:val="000000"/>
          <w:lang w:eastAsia="uk-UA"/>
        </w:rPr>
        <w:t>забезпечення</w:t>
      </w:r>
      <w:proofErr w:type="spellEnd"/>
      <w:r w:rsidRPr="00EE64DD">
        <w:rPr>
          <w:color w:val="000000"/>
          <w:lang w:eastAsia="uk-UA"/>
        </w:rPr>
        <w:t xml:space="preserve">, </w:t>
      </w:r>
      <w:proofErr w:type="spellStart"/>
      <w:r w:rsidRPr="00EE64DD">
        <w:rPr>
          <w:color w:val="000000"/>
          <w:lang w:eastAsia="uk-UA"/>
        </w:rPr>
        <w:t>грошових</w:t>
      </w:r>
      <w:proofErr w:type="spellEnd"/>
      <w:r w:rsidRPr="00EE64DD">
        <w:rPr>
          <w:color w:val="000000"/>
          <w:lang w:eastAsia="uk-UA"/>
        </w:rPr>
        <w:t xml:space="preserve"> </w:t>
      </w:r>
      <w:proofErr w:type="spellStart"/>
      <w:r w:rsidRPr="00EE64DD">
        <w:rPr>
          <w:color w:val="000000"/>
          <w:lang w:eastAsia="uk-UA"/>
        </w:rPr>
        <w:t>винагород</w:t>
      </w:r>
      <w:proofErr w:type="spellEnd"/>
      <w:r w:rsidRPr="00EE64DD">
        <w:rPr>
          <w:color w:val="000000"/>
          <w:lang w:eastAsia="uk-UA"/>
        </w:rPr>
        <w:t xml:space="preserve"> та </w:t>
      </w:r>
      <w:proofErr w:type="spellStart"/>
      <w:r w:rsidRPr="00EE64DD">
        <w:rPr>
          <w:color w:val="000000"/>
          <w:lang w:eastAsia="uk-UA"/>
        </w:rPr>
        <w:t>інших</w:t>
      </w:r>
      <w:proofErr w:type="spellEnd"/>
      <w:r w:rsidRPr="00EE64DD">
        <w:rPr>
          <w:color w:val="000000"/>
          <w:lang w:eastAsia="uk-UA"/>
        </w:rPr>
        <w:t xml:space="preserve"> </w:t>
      </w:r>
      <w:proofErr w:type="spellStart"/>
      <w:r w:rsidRPr="00EE64DD">
        <w:rPr>
          <w:color w:val="000000"/>
          <w:lang w:eastAsia="uk-UA"/>
        </w:rPr>
        <w:t>виплат</w:t>
      </w:r>
      <w:proofErr w:type="spellEnd"/>
      <w:r w:rsidRPr="00EE64DD">
        <w:rPr>
          <w:color w:val="000000"/>
          <w:lang w:eastAsia="uk-UA"/>
        </w:rPr>
        <w:t xml:space="preserve">, </w:t>
      </w:r>
      <w:proofErr w:type="spellStart"/>
      <w:r w:rsidRPr="00EE64DD">
        <w:rPr>
          <w:color w:val="000000"/>
          <w:lang w:eastAsia="uk-UA"/>
        </w:rPr>
        <w:t>одержаних</w:t>
      </w:r>
      <w:proofErr w:type="spellEnd"/>
      <w:r w:rsidRPr="00EE64DD">
        <w:rPr>
          <w:color w:val="000000"/>
          <w:lang w:eastAsia="uk-UA"/>
        </w:rPr>
        <w:t xml:space="preserve"> </w:t>
      </w:r>
      <w:proofErr w:type="spellStart"/>
      <w:r w:rsidRPr="00EE64DD">
        <w:rPr>
          <w:color w:val="000000"/>
          <w:lang w:eastAsia="uk-UA"/>
        </w:rPr>
        <w:t>військовослужбовцями</w:t>
      </w:r>
      <w:proofErr w:type="spellEnd"/>
      <w:r w:rsidRPr="00EE64DD">
        <w:rPr>
          <w:color w:val="000000"/>
          <w:lang w:eastAsia="uk-UA"/>
        </w:rPr>
        <w:t xml:space="preserve"> та особами рядового </w:t>
      </w:r>
      <w:proofErr w:type="spellStart"/>
      <w:r w:rsidRPr="00EE64DD">
        <w:rPr>
          <w:color w:val="000000"/>
          <w:lang w:eastAsia="uk-UA"/>
        </w:rPr>
        <w:t>і</w:t>
      </w:r>
      <w:proofErr w:type="spellEnd"/>
      <w:r w:rsidRPr="00EE64DD">
        <w:rPr>
          <w:color w:val="000000"/>
          <w:lang w:eastAsia="uk-UA"/>
        </w:rPr>
        <w:t xml:space="preserve"> </w:t>
      </w:r>
      <w:proofErr w:type="spellStart"/>
      <w:r w:rsidRPr="00EE64DD">
        <w:rPr>
          <w:color w:val="000000"/>
          <w:lang w:eastAsia="uk-UA"/>
        </w:rPr>
        <w:t>начальницького</w:t>
      </w:r>
      <w:proofErr w:type="spellEnd"/>
      <w:r w:rsidRPr="00EE64DD">
        <w:rPr>
          <w:color w:val="000000"/>
          <w:lang w:eastAsia="uk-UA"/>
        </w:rPr>
        <w:t xml:space="preserve"> складу, </w:t>
      </w:r>
      <w:proofErr w:type="spellStart"/>
      <w:r w:rsidRPr="00EE64DD">
        <w:rPr>
          <w:color w:val="000000"/>
          <w:lang w:eastAsia="uk-UA"/>
        </w:rPr>
        <w:t>що</w:t>
      </w:r>
      <w:proofErr w:type="spellEnd"/>
      <w:r w:rsidRPr="00EE64DD">
        <w:rPr>
          <w:color w:val="000000"/>
          <w:lang w:eastAsia="uk-UA"/>
        </w:rPr>
        <w:t xml:space="preserve"> </w:t>
      </w:r>
      <w:proofErr w:type="spellStart"/>
      <w:r w:rsidRPr="00EE64DD">
        <w:rPr>
          <w:color w:val="000000"/>
          <w:lang w:eastAsia="uk-UA"/>
        </w:rPr>
        <w:t>сплачується</w:t>
      </w:r>
      <w:proofErr w:type="spellEnd"/>
      <w:r w:rsidRPr="00EE64DD">
        <w:rPr>
          <w:color w:val="000000"/>
          <w:lang w:eastAsia="uk-UA"/>
        </w:rPr>
        <w:t xml:space="preserve"> </w:t>
      </w:r>
      <w:proofErr w:type="spellStart"/>
      <w:r w:rsidRPr="00EE64DD">
        <w:rPr>
          <w:color w:val="000000"/>
          <w:lang w:eastAsia="uk-UA"/>
        </w:rPr>
        <w:t>податковими</w:t>
      </w:r>
      <w:proofErr w:type="spellEnd"/>
      <w:r w:rsidRPr="00EE64DD">
        <w:rPr>
          <w:color w:val="000000"/>
          <w:lang w:eastAsia="uk-UA"/>
        </w:rPr>
        <w:t xml:space="preserve"> агентами</w:t>
      </w:r>
      <w:r w:rsidRPr="00EE64DD">
        <w:rPr>
          <w:color w:val="000000"/>
          <w:lang w:val="uk-UA" w:eastAsia="uk-UA"/>
        </w:rPr>
        <w:t xml:space="preserve"> </w:t>
      </w:r>
      <w:r w:rsidRPr="00EE64DD">
        <w:t xml:space="preserve">– </w:t>
      </w:r>
      <w:r w:rsidRPr="00EE64DD">
        <w:rPr>
          <w:lang w:val="uk-UA"/>
        </w:rPr>
        <w:t xml:space="preserve">20,6 </w:t>
      </w:r>
      <w:r w:rsidRPr="00EE64DD">
        <w:t xml:space="preserve"> (</w:t>
      </w:r>
      <w:r w:rsidRPr="00EE64DD">
        <w:rPr>
          <w:lang w:val="uk-UA"/>
        </w:rPr>
        <w:t>13,7) відсотки;</w:t>
      </w:r>
    </w:p>
    <w:p w:rsidR="00AA4361" w:rsidRPr="00EE64DD" w:rsidRDefault="00AA4361" w:rsidP="00AA4361">
      <w:pPr>
        <w:numPr>
          <w:ilvl w:val="0"/>
          <w:numId w:val="6"/>
        </w:numPr>
        <w:ind w:left="0" w:firstLine="709"/>
        <w:jc w:val="both"/>
      </w:pPr>
      <w:r w:rsidRPr="00EE64DD">
        <w:t xml:space="preserve"> </w:t>
      </w:r>
      <w:r w:rsidRPr="00EE64DD">
        <w:rPr>
          <w:color w:val="000000"/>
          <w:lang w:val="uk-UA" w:eastAsia="uk-UA"/>
        </w:rPr>
        <w:t>п</w:t>
      </w:r>
      <w:proofErr w:type="spellStart"/>
      <w:r w:rsidRPr="00EE64DD">
        <w:rPr>
          <w:color w:val="000000"/>
          <w:lang w:eastAsia="uk-UA"/>
        </w:rPr>
        <w:t>одаток</w:t>
      </w:r>
      <w:proofErr w:type="spellEnd"/>
      <w:r w:rsidRPr="00EE64DD">
        <w:rPr>
          <w:color w:val="000000"/>
          <w:lang w:eastAsia="uk-UA"/>
        </w:rPr>
        <w:t xml:space="preserve"> на доходи </w:t>
      </w:r>
      <w:proofErr w:type="spellStart"/>
      <w:r w:rsidRPr="00EE64DD">
        <w:rPr>
          <w:color w:val="000000"/>
          <w:lang w:eastAsia="uk-UA"/>
        </w:rPr>
        <w:t>фізичних</w:t>
      </w:r>
      <w:proofErr w:type="spellEnd"/>
      <w:r w:rsidRPr="00EE64DD">
        <w:rPr>
          <w:color w:val="000000"/>
          <w:lang w:eastAsia="uk-UA"/>
        </w:rPr>
        <w:t xml:space="preserve"> </w:t>
      </w:r>
      <w:proofErr w:type="spellStart"/>
      <w:r w:rsidRPr="00EE64DD">
        <w:rPr>
          <w:color w:val="000000"/>
          <w:lang w:eastAsia="uk-UA"/>
        </w:rPr>
        <w:t>осіб</w:t>
      </w:r>
      <w:proofErr w:type="spellEnd"/>
      <w:r w:rsidRPr="00EE64DD">
        <w:rPr>
          <w:color w:val="000000"/>
          <w:lang w:eastAsia="uk-UA"/>
        </w:rPr>
        <w:t xml:space="preserve">, </w:t>
      </w:r>
      <w:proofErr w:type="spellStart"/>
      <w:r w:rsidRPr="00EE64DD">
        <w:rPr>
          <w:color w:val="000000"/>
          <w:lang w:eastAsia="uk-UA"/>
        </w:rPr>
        <w:t>що</w:t>
      </w:r>
      <w:proofErr w:type="spellEnd"/>
      <w:r w:rsidRPr="00EE64DD">
        <w:rPr>
          <w:color w:val="000000"/>
          <w:lang w:eastAsia="uk-UA"/>
        </w:rPr>
        <w:t xml:space="preserve"> </w:t>
      </w:r>
      <w:proofErr w:type="spellStart"/>
      <w:r w:rsidRPr="00EE64DD">
        <w:rPr>
          <w:color w:val="000000"/>
          <w:lang w:eastAsia="uk-UA"/>
        </w:rPr>
        <w:t>сплачується</w:t>
      </w:r>
      <w:proofErr w:type="spellEnd"/>
      <w:r w:rsidRPr="00EE64DD">
        <w:rPr>
          <w:color w:val="000000"/>
          <w:lang w:eastAsia="uk-UA"/>
        </w:rPr>
        <w:t xml:space="preserve"> </w:t>
      </w:r>
      <w:proofErr w:type="spellStart"/>
      <w:r w:rsidRPr="00EE64DD">
        <w:rPr>
          <w:color w:val="000000"/>
          <w:lang w:eastAsia="uk-UA"/>
        </w:rPr>
        <w:t>податковими</w:t>
      </w:r>
      <w:proofErr w:type="spellEnd"/>
      <w:r w:rsidRPr="00EE64DD">
        <w:rPr>
          <w:color w:val="000000"/>
          <w:lang w:eastAsia="uk-UA"/>
        </w:rPr>
        <w:t xml:space="preserve"> агентами, </w:t>
      </w:r>
      <w:proofErr w:type="spellStart"/>
      <w:r w:rsidRPr="00EE64DD">
        <w:rPr>
          <w:color w:val="000000"/>
          <w:lang w:eastAsia="uk-UA"/>
        </w:rPr>
        <w:t>із</w:t>
      </w:r>
      <w:proofErr w:type="spellEnd"/>
      <w:r w:rsidRPr="00EE64DD">
        <w:rPr>
          <w:color w:val="000000"/>
          <w:lang w:eastAsia="uk-UA"/>
        </w:rPr>
        <w:t xml:space="preserve"> </w:t>
      </w:r>
      <w:proofErr w:type="spellStart"/>
      <w:r w:rsidRPr="00EE64DD">
        <w:rPr>
          <w:color w:val="000000"/>
          <w:lang w:eastAsia="uk-UA"/>
        </w:rPr>
        <w:t>доходів</w:t>
      </w:r>
      <w:proofErr w:type="spellEnd"/>
      <w:r w:rsidRPr="00EE64DD">
        <w:rPr>
          <w:color w:val="000000"/>
          <w:lang w:eastAsia="uk-UA"/>
        </w:rPr>
        <w:t xml:space="preserve"> </w:t>
      </w:r>
      <w:proofErr w:type="spellStart"/>
      <w:r w:rsidRPr="00EE64DD">
        <w:rPr>
          <w:color w:val="000000"/>
          <w:lang w:eastAsia="uk-UA"/>
        </w:rPr>
        <w:t>платника</w:t>
      </w:r>
      <w:proofErr w:type="spellEnd"/>
      <w:r w:rsidRPr="00EE64DD">
        <w:rPr>
          <w:color w:val="000000"/>
          <w:lang w:eastAsia="uk-UA"/>
        </w:rPr>
        <w:t xml:space="preserve"> </w:t>
      </w:r>
      <w:proofErr w:type="spellStart"/>
      <w:r w:rsidRPr="00EE64DD">
        <w:rPr>
          <w:color w:val="000000"/>
          <w:lang w:eastAsia="uk-UA"/>
        </w:rPr>
        <w:t>податку</w:t>
      </w:r>
      <w:proofErr w:type="spellEnd"/>
      <w:r w:rsidRPr="00EE64DD">
        <w:rPr>
          <w:color w:val="000000"/>
          <w:lang w:eastAsia="uk-UA"/>
        </w:rPr>
        <w:t xml:space="preserve"> </w:t>
      </w:r>
      <w:proofErr w:type="spellStart"/>
      <w:r w:rsidRPr="00EE64DD">
        <w:rPr>
          <w:color w:val="000000"/>
          <w:lang w:eastAsia="uk-UA"/>
        </w:rPr>
        <w:t>інших</w:t>
      </w:r>
      <w:proofErr w:type="spellEnd"/>
      <w:r w:rsidRPr="00EE64DD">
        <w:rPr>
          <w:color w:val="000000"/>
          <w:lang w:eastAsia="uk-UA"/>
        </w:rPr>
        <w:t xml:space="preserve"> </w:t>
      </w:r>
      <w:proofErr w:type="spellStart"/>
      <w:r w:rsidRPr="00EE64DD">
        <w:rPr>
          <w:color w:val="000000"/>
          <w:lang w:eastAsia="uk-UA"/>
        </w:rPr>
        <w:t>ніж</w:t>
      </w:r>
      <w:proofErr w:type="spellEnd"/>
      <w:r w:rsidRPr="00EE64DD">
        <w:rPr>
          <w:color w:val="000000"/>
          <w:lang w:eastAsia="uk-UA"/>
        </w:rPr>
        <w:t xml:space="preserve"> </w:t>
      </w:r>
      <w:proofErr w:type="spellStart"/>
      <w:r w:rsidRPr="00EE64DD">
        <w:rPr>
          <w:color w:val="000000"/>
          <w:lang w:eastAsia="uk-UA"/>
        </w:rPr>
        <w:t>заробітна</w:t>
      </w:r>
      <w:proofErr w:type="spellEnd"/>
      <w:r w:rsidRPr="00EE64DD">
        <w:rPr>
          <w:color w:val="000000"/>
          <w:lang w:eastAsia="uk-UA"/>
        </w:rPr>
        <w:t xml:space="preserve"> плата</w:t>
      </w:r>
      <w:r w:rsidRPr="00EE64DD">
        <w:t xml:space="preserve"> – 0,</w:t>
      </w:r>
      <w:r w:rsidRPr="00EE64DD">
        <w:rPr>
          <w:lang w:val="uk-UA"/>
        </w:rPr>
        <w:t>1</w:t>
      </w:r>
      <w:r w:rsidRPr="00EE64DD">
        <w:t xml:space="preserve"> (0,</w:t>
      </w:r>
      <w:r w:rsidRPr="00EE64DD">
        <w:rPr>
          <w:lang w:val="uk-UA"/>
        </w:rPr>
        <w:t>1) відсотки;</w:t>
      </w:r>
    </w:p>
    <w:p w:rsidR="00AA4361" w:rsidRPr="00EE64DD" w:rsidRDefault="00AA4361" w:rsidP="00AA4361">
      <w:pPr>
        <w:numPr>
          <w:ilvl w:val="0"/>
          <w:numId w:val="6"/>
        </w:numPr>
        <w:ind w:left="0" w:firstLine="709"/>
        <w:jc w:val="both"/>
      </w:pPr>
      <w:r w:rsidRPr="00EE64DD">
        <w:rPr>
          <w:color w:val="000000"/>
          <w:lang w:val="uk-UA" w:eastAsia="uk-UA"/>
        </w:rPr>
        <w:t>п</w:t>
      </w:r>
      <w:proofErr w:type="spellStart"/>
      <w:r w:rsidRPr="00EE64DD">
        <w:rPr>
          <w:color w:val="000000"/>
          <w:lang w:eastAsia="uk-UA"/>
        </w:rPr>
        <w:t>одаток</w:t>
      </w:r>
      <w:proofErr w:type="spellEnd"/>
      <w:r w:rsidRPr="00EE64DD">
        <w:rPr>
          <w:color w:val="000000"/>
          <w:lang w:eastAsia="uk-UA"/>
        </w:rPr>
        <w:t xml:space="preserve"> на доходи </w:t>
      </w:r>
      <w:proofErr w:type="spellStart"/>
      <w:r w:rsidRPr="00EE64DD">
        <w:rPr>
          <w:color w:val="000000"/>
          <w:lang w:eastAsia="uk-UA"/>
        </w:rPr>
        <w:t>фізичних</w:t>
      </w:r>
      <w:proofErr w:type="spellEnd"/>
      <w:r w:rsidRPr="00EE64DD">
        <w:rPr>
          <w:color w:val="000000"/>
          <w:lang w:eastAsia="uk-UA"/>
        </w:rPr>
        <w:t xml:space="preserve"> </w:t>
      </w:r>
      <w:proofErr w:type="spellStart"/>
      <w:r w:rsidRPr="00EE64DD">
        <w:rPr>
          <w:color w:val="000000"/>
          <w:lang w:eastAsia="uk-UA"/>
        </w:rPr>
        <w:t>осіб</w:t>
      </w:r>
      <w:proofErr w:type="spellEnd"/>
      <w:r w:rsidRPr="00EE64DD">
        <w:rPr>
          <w:color w:val="000000"/>
          <w:lang w:eastAsia="uk-UA"/>
        </w:rPr>
        <w:t xml:space="preserve">, </w:t>
      </w:r>
      <w:proofErr w:type="spellStart"/>
      <w:r w:rsidRPr="00EE64DD">
        <w:rPr>
          <w:color w:val="000000"/>
          <w:lang w:eastAsia="uk-UA"/>
        </w:rPr>
        <w:t>що</w:t>
      </w:r>
      <w:proofErr w:type="spellEnd"/>
      <w:r w:rsidRPr="00EE64DD">
        <w:rPr>
          <w:color w:val="000000"/>
          <w:lang w:eastAsia="uk-UA"/>
        </w:rPr>
        <w:t xml:space="preserve"> </w:t>
      </w:r>
      <w:proofErr w:type="spellStart"/>
      <w:r w:rsidRPr="00EE64DD">
        <w:rPr>
          <w:color w:val="000000"/>
          <w:lang w:eastAsia="uk-UA"/>
        </w:rPr>
        <w:t>сплачується</w:t>
      </w:r>
      <w:proofErr w:type="spellEnd"/>
      <w:r w:rsidRPr="00EE64DD">
        <w:rPr>
          <w:color w:val="000000"/>
          <w:lang w:eastAsia="uk-UA"/>
        </w:rPr>
        <w:t xml:space="preserve"> </w:t>
      </w:r>
      <w:proofErr w:type="spellStart"/>
      <w:r w:rsidRPr="00EE64DD">
        <w:rPr>
          <w:color w:val="000000"/>
          <w:lang w:eastAsia="uk-UA"/>
        </w:rPr>
        <w:t>фізичними</w:t>
      </w:r>
      <w:proofErr w:type="spellEnd"/>
      <w:r w:rsidRPr="00EE64DD">
        <w:rPr>
          <w:color w:val="000000"/>
          <w:lang w:eastAsia="uk-UA"/>
        </w:rPr>
        <w:t xml:space="preserve"> особами за результатами </w:t>
      </w:r>
      <w:proofErr w:type="spellStart"/>
      <w:r w:rsidRPr="00EE64DD">
        <w:rPr>
          <w:color w:val="000000"/>
          <w:lang w:eastAsia="uk-UA"/>
        </w:rPr>
        <w:t>річного</w:t>
      </w:r>
      <w:proofErr w:type="spellEnd"/>
      <w:r w:rsidRPr="00EE64DD">
        <w:rPr>
          <w:color w:val="000000"/>
          <w:lang w:eastAsia="uk-UA"/>
        </w:rPr>
        <w:t xml:space="preserve"> </w:t>
      </w:r>
      <w:proofErr w:type="spellStart"/>
      <w:r w:rsidRPr="00EE64DD">
        <w:rPr>
          <w:color w:val="000000"/>
          <w:lang w:eastAsia="uk-UA"/>
        </w:rPr>
        <w:t>декларування</w:t>
      </w:r>
      <w:proofErr w:type="spellEnd"/>
      <w:r w:rsidRPr="00EE64DD">
        <w:t xml:space="preserve"> – 1,</w:t>
      </w:r>
      <w:r w:rsidRPr="00EE64DD">
        <w:rPr>
          <w:lang w:val="uk-UA"/>
        </w:rPr>
        <w:t>4</w:t>
      </w:r>
      <w:r w:rsidRPr="00EE64DD">
        <w:t xml:space="preserve"> (</w:t>
      </w:r>
      <w:r w:rsidRPr="00EE64DD">
        <w:rPr>
          <w:lang w:val="uk-UA"/>
        </w:rPr>
        <w:t>2</w:t>
      </w:r>
      <w:r w:rsidRPr="00EE64DD">
        <w:t>,</w:t>
      </w:r>
      <w:r w:rsidRPr="00EE64DD">
        <w:rPr>
          <w:lang w:val="uk-UA"/>
        </w:rPr>
        <w:t>0) відсотки</w:t>
      </w:r>
      <w:r w:rsidRPr="00EE64DD">
        <w:t xml:space="preserve">. </w:t>
      </w:r>
    </w:p>
    <w:p w:rsidR="00AA4361" w:rsidRPr="00EE64DD" w:rsidRDefault="00AA4361" w:rsidP="00AA4361">
      <w:pPr>
        <w:tabs>
          <w:tab w:val="left" w:pos="720"/>
        </w:tabs>
        <w:ind w:firstLine="709"/>
        <w:jc w:val="both"/>
        <w:rPr>
          <w:lang w:val="uk-UA"/>
        </w:rPr>
      </w:pPr>
      <w:r w:rsidRPr="00EE64DD">
        <w:t xml:space="preserve">У </w:t>
      </w:r>
      <w:proofErr w:type="spellStart"/>
      <w:r w:rsidRPr="00EE64DD">
        <w:t>порівнянні</w:t>
      </w:r>
      <w:proofErr w:type="spellEnd"/>
      <w:r w:rsidRPr="00EE64DD">
        <w:t xml:space="preserve"> </w:t>
      </w:r>
      <w:proofErr w:type="spellStart"/>
      <w:r w:rsidRPr="00EE64DD">
        <w:t>з</w:t>
      </w:r>
      <w:proofErr w:type="spellEnd"/>
      <w:r w:rsidRPr="00EE64DD">
        <w:t xml:space="preserve"> </w:t>
      </w:r>
      <w:proofErr w:type="spellStart"/>
      <w:r w:rsidRPr="00EE64DD">
        <w:t>аналогічним</w:t>
      </w:r>
      <w:proofErr w:type="spellEnd"/>
      <w:r w:rsidRPr="00EE64DD">
        <w:t xml:space="preserve"> </w:t>
      </w:r>
      <w:proofErr w:type="spellStart"/>
      <w:r w:rsidRPr="00EE64DD">
        <w:t>періодом</w:t>
      </w:r>
      <w:proofErr w:type="spellEnd"/>
      <w:r w:rsidRPr="00EE64DD">
        <w:t xml:space="preserve"> </w:t>
      </w:r>
      <w:proofErr w:type="spellStart"/>
      <w:r w:rsidRPr="00EE64DD">
        <w:t>минулого</w:t>
      </w:r>
      <w:proofErr w:type="spellEnd"/>
      <w:r w:rsidRPr="00EE64DD">
        <w:t xml:space="preserve"> року </w:t>
      </w:r>
      <w:proofErr w:type="spellStart"/>
      <w:r w:rsidRPr="00EE64DD">
        <w:t>спостерігається</w:t>
      </w:r>
      <w:proofErr w:type="spellEnd"/>
      <w:r w:rsidRPr="00EE64DD">
        <w:t xml:space="preserve"> </w:t>
      </w:r>
      <w:proofErr w:type="spellStart"/>
      <w:r w:rsidRPr="00EE64DD">
        <w:t>зростання</w:t>
      </w:r>
      <w:proofErr w:type="spellEnd"/>
      <w:r w:rsidRPr="00EE64DD">
        <w:t xml:space="preserve"> </w:t>
      </w:r>
      <w:proofErr w:type="spellStart"/>
      <w:r w:rsidRPr="00EE64DD">
        <w:t>надходжень</w:t>
      </w:r>
      <w:proofErr w:type="spellEnd"/>
      <w:r w:rsidRPr="00EE64DD">
        <w:t xml:space="preserve"> </w:t>
      </w:r>
      <w:r w:rsidRPr="00EE64DD">
        <w:rPr>
          <w:lang w:val="uk-UA"/>
        </w:rPr>
        <w:t>ПДФО</w:t>
      </w:r>
      <w:r w:rsidRPr="00EE64DD">
        <w:t xml:space="preserve"> на </w:t>
      </w:r>
      <w:r w:rsidRPr="00EE64DD">
        <w:rPr>
          <w:lang w:val="uk-UA"/>
        </w:rPr>
        <w:t>1 351,6</w:t>
      </w:r>
      <w:r w:rsidRPr="00EE64DD">
        <w:t xml:space="preserve"> тис</w:t>
      </w:r>
      <w:proofErr w:type="gramStart"/>
      <w:r w:rsidRPr="00EE64DD">
        <w:t>.</w:t>
      </w:r>
      <w:proofErr w:type="gramEnd"/>
      <w:r w:rsidRPr="00EE64DD">
        <w:t xml:space="preserve"> </w:t>
      </w:r>
      <w:proofErr w:type="spellStart"/>
      <w:proofErr w:type="gramStart"/>
      <w:r w:rsidRPr="00EE64DD">
        <w:t>г</w:t>
      </w:r>
      <w:proofErr w:type="gramEnd"/>
      <w:r w:rsidRPr="00EE64DD">
        <w:t>рн</w:t>
      </w:r>
      <w:proofErr w:type="spellEnd"/>
      <w:r w:rsidRPr="00EE64DD">
        <w:t>.</w:t>
      </w:r>
      <w:r w:rsidRPr="00EE64DD">
        <w:rPr>
          <w:lang w:val="uk-UA"/>
        </w:rPr>
        <w:t xml:space="preserve"> або на 12,3відсотки.</w:t>
      </w:r>
      <w:r w:rsidRPr="00EE64DD">
        <w:t xml:space="preserve"> </w:t>
      </w:r>
    </w:p>
    <w:p w:rsidR="00AA4361" w:rsidRPr="00EE64DD" w:rsidRDefault="00AA4361" w:rsidP="00AA4361">
      <w:pPr>
        <w:tabs>
          <w:tab w:val="left" w:pos="720"/>
        </w:tabs>
        <w:ind w:firstLine="709"/>
        <w:jc w:val="both"/>
        <w:rPr>
          <w:lang w:val="uk-UA"/>
        </w:rPr>
      </w:pPr>
    </w:p>
    <w:p w:rsidR="00AA4361" w:rsidRPr="00EE64DD" w:rsidRDefault="00AA4361" w:rsidP="00AA4361">
      <w:pPr>
        <w:tabs>
          <w:tab w:val="left" w:pos="720"/>
        </w:tabs>
        <w:ind w:firstLine="709"/>
        <w:jc w:val="both"/>
        <w:rPr>
          <w:lang w:val="uk-UA"/>
        </w:rPr>
      </w:pPr>
      <w:r w:rsidRPr="00EE64DD">
        <w:rPr>
          <w:lang w:val="uk-UA"/>
        </w:rPr>
        <w:t>Найбільший приріст надходжень в структурі податку на доходи фізичних осіб спостерігається по податку на доходи фізичних осіб з грошового забезпечення, грошових винагород та інших виплат, одержаних військовослужбовцями та особами рядового і начальницького складу, що сплачується податковими агентами. Збільшення надходжень пов’язане з введенням на території України воєнного стану та виплатою додаткової грошової винагороди військовослужбовцям на підставі Постанови Кабінету Міністрів України «Питання деяких виплат військовослужбовцям, особам рядового і начальницького складу, поліцейським та їх сім’ям під час дії воєнного стану» від 28.02.2022 року  №168.</w:t>
      </w:r>
    </w:p>
    <w:p w:rsidR="00AA4361" w:rsidRPr="00EE64DD" w:rsidRDefault="00AA4361" w:rsidP="00AA4361">
      <w:pPr>
        <w:tabs>
          <w:tab w:val="left" w:pos="720"/>
        </w:tabs>
        <w:ind w:firstLine="709"/>
        <w:jc w:val="both"/>
        <w:rPr>
          <w:color w:val="FF0000"/>
          <w:lang w:val="uk-UA"/>
        </w:rPr>
      </w:pPr>
      <w:r w:rsidRPr="00EE64DD">
        <w:rPr>
          <w:lang w:val="uk-UA"/>
        </w:rPr>
        <w:t>Найбільшими платниками ПДФО по  юридичних особах є відділ освіти, молоді і спорту селищної ради – 3 827,0 тис. грн.,  КНП «Верховинська багатопрофільна лікарня» - 1 415,1 тис. грн.,   ОТЦК СП (військкомат) – 1 180,4  тис. грн., ГУ НП  –– 736,6  тис. грн., ГУ ДНС  – 699,7  тис. грн. та ЛГ ДСГП Ліси України (</w:t>
      </w:r>
      <w:proofErr w:type="spellStart"/>
      <w:r w:rsidRPr="00EE64DD">
        <w:rPr>
          <w:lang w:val="uk-UA"/>
        </w:rPr>
        <w:t>ДП</w:t>
      </w:r>
      <w:proofErr w:type="spellEnd"/>
      <w:r w:rsidRPr="00EE64DD">
        <w:rPr>
          <w:lang w:val="uk-UA"/>
        </w:rPr>
        <w:t xml:space="preserve"> «Верховинське лісове господарство») – 517,9 тис. грн.</w:t>
      </w:r>
      <w:r w:rsidRPr="00EE64DD">
        <w:rPr>
          <w:color w:val="FF0000"/>
          <w:lang w:val="uk-UA"/>
        </w:rPr>
        <w:t xml:space="preserve"> </w:t>
      </w:r>
    </w:p>
    <w:p w:rsidR="00AA4361" w:rsidRPr="00EE64DD" w:rsidRDefault="00AA4361" w:rsidP="00AA4361">
      <w:pPr>
        <w:tabs>
          <w:tab w:val="left" w:pos="720"/>
        </w:tabs>
        <w:ind w:firstLine="709"/>
        <w:jc w:val="both"/>
        <w:rPr>
          <w:lang w:val="uk-UA"/>
        </w:rPr>
      </w:pPr>
      <w:r w:rsidRPr="00EE64DD">
        <w:rPr>
          <w:lang w:val="uk-UA"/>
        </w:rPr>
        <w:t xml:space="preserve">Найбільшими платниками з фізичних осіб є </w:t>
      </w:r>
      <w:proofErr w:type="spellStart"/>
      <w:r w:rsidRPr="00EE64DD">
        <w:rPr>
          <w:lang w:val="uk-UA"/>
        </w:rPr>
        <w:t>ФОП</w:t>
      </w:r>
      <w:proofErr w:type="spellEnd"/>
      <w:r w:rsidRPr="00EE64DD">
        <w:rPr>
          <w:lang w:val="uk-UA"/>
        </w:rPr>
        <w:t xml:space="preserve"> </w:t>
      </w:r>
      <w:proofErr w:type="spellStart"/>
      <w:r w:rsidRPr="00EE64DD">
        <w:rPr>
          <w:lang w:val="uk-UA"/>
        </w:rPr>
        <w:t>Кандюк</w:t>
      </w:r>
      <w:proofErr w:type="spellEnd"/>
      <w:r w:rsidRPr="00EE64DD">
        <w:rPr>
          <w:lang w:val="uk-UA"/>
        </w:rPr>
        <w:t xml:space="preserve"> Л.В. – 47,5 тис. грн., </w:t>
      </w:r>
      <w:proofErr w:type="spellStart"/>
      <w:r w:rsidRPr="00EE64DD">
        <w:rPr>
          <w:lang w:val="uk-UA"/>
        </w:rPr>
        <w:t>ФОП</w:t>
      </w:r>
      <w:proofErr w:type="spellEnd"/>
      <w:r w:rsidRPr="00EE64DD">
        <w:rPr>
          <w:lang w:val="uk-UA"/>
        </w:rPr>
        <w:t xml:space="preserve"> Баран В.В. – 39,9 тис. грн., </w:t>
      </w:r>
      <w:proofErr w:type="spellStart"/>
      <w:r w:rsidRPr="00EE64DD">
        <w:rPr>
          <w:lang w:val="uk-UA"/>
        </w:rPr>
        <w:t>ФОП</w:t>
      </w:r>
      <w:proofErr w:type="spellEnd"/>
      <w:r w:rsidRPr="00EE64DD">
        <w:rPr>
          <w:lang w:val="uk-UA"/>
        </w:rPr>
        <w:t xml:space="preserve"> </w:t>
      </w:r>
      <w:proofErr w:type="spellStart"/>
      <w:r w:rsidRPr="00EE64DD">
        <w:rPr>
          <w:lang w:val="uk-UA"/>
        </w:rPr>
        <w:t>Магнич</w:t>
      </w:r>
      <w:proofErr w:type="spellEnd"/>
      <w:r w:rsidRPr="00EE64DD">
        <w:rPr>
          <w:lang w:val="uk-UA"/>
        </w:rPr>
        <w:t xml:space="preserve"> В.М. – 31,8 тис. грн., </w:t>
      </w:r>
      <w:proofErr w:type="spellStart"/>
      <w:r w:rsidRPr="00EE64DD">
        <w:rPr>
          <w:lang w:val="uk-UA"/>
        </w:rPr>
        <w:t>ФОП</w:t>
      </w:r>
      <w:proofErr w:type="spellEnd"/>
      <w:r w:rsidRPr="00EE64DD">
        <w:rPr>
          <w:lang w:val="uk-UA"/>
        </w:rPr>
        <w:t xml:space="preserve"> </w:t>
      </w:r>
      <w:proofErr w:type="spellStart"/>
      <w:r w:rsidRPr="00EE64DD">
        <w:rPr>
          <w:lang w:val="uk-UA"/>
        </w:rPr>
        <w:t>Острогомильський</w:t>
      </w:r>
      <w:proofErr w:type="spellEnd"/>
      <w:r w:rsidRPr="00EE64DD">
        <w:rPr>
          <w:lang w:val="uk-UA"/>
        </w:rPr>
        <w:t xml:space="preserve"> Ю.М. – 18,3 тис. грн., </w:t>
      </w:r>
      <w:proofErr w:type="spellStart"/>
      <w:r w:rsidRPr="00EE64DD">
        <w:rPr>
          <w:lang w:val="uk-UA"/>
        </w:rPr>
        <w:t>ФОП</w:t>
      </w:r>
      <w:proofErr w:type="spellEnd"/>
      <w:r w:rsidRPr="00EE64DD">
        <w:rPr>
          <w:lang w:val="uk-UA"/>
        </w:rPr>
        <w:t xml:space="preserve"> </w:t>
      </w:r>
      <w:proofErr w:type="spellStart"/>
      <w:r w:rsidRPr="00EE64DD">
        <w:rPr>
          <w:lang w:val="uk-UA"/>
        </w:rPr>
        <w:t>Ігнатюк</w:t>
      </w:r>
      <w:proofErr w:type="spellEnd"/>
      <w:r w:rsidRPr="00EE64DD">
        <w:rPr>
          <w:lang w:val="uk-UA"/>
        </w:rPr>
        <w:t xml:space="preserve"> А.О. – 15,4 тис. грн. та </w:t>
      </w:r>
      <w:proofErr w:type="spellStart"/>
      <w:r w:rsidRPr="00EE64DD">
        <w:rPr>
          <w:lang w:val="uk-UA"/>
        </w:rPr>
        <w:t>ФОП</w:t>
      </w:r>
      <w:proofErr w:type="spellEnd"/>
      <w:r w:rsidRPr="00EE64DD">
        <w:rPr>
          <w:lang w:val="uk-UA"/>
        </w:rPr>
        <w:t xml:space="preserve"> </w:t>
      </w:r>
      <w:proofErr w:type="spellStart"/>
      <w:r w:rsidRPr="00EE64DD">
        <w:rPr>
          <w:lang w:val="uk-UA"/>
        </w:rPr>
        <w:t>Капанюк</w:t>
      </w:r>
      <w:proofErr w:type="spellEnd"/>
      <w:r w:rsidRPr="00EE64DD">
        <w:rPr>
          <w:lang w:val="uk-UA"/>
        </w:rPr>
        <w:t xml:space="preserve"> С.О. – 14,2 тис. грн.</w:t>
      </w:r>
    </w:p>
    <w:p w:rsidR="00AA4361" w:rsidRPr="00EE64DD" w:rsidRDefault="00AA4361" w:rsidP="00AA4361">
      <w:pPr>
        <w:ind w:firstLine="709"/>
        <w:jc w:val="both"/>
        <w:rPr>
          <w:lang w:val="uk-UA"/>
        </w:rPr>
      </w:pPr>
      <w:r w:rsidRPr="00EE64DD">
        <w:rPr>
          <w:b/>
          <w:lang w:val="uk-UA"/>
        </w:rPr>
        <w:t xml:space="preserve">Місцеві податки та збори, що сплачуються (перераховуються) згідно з Податковим кодексом України </w:t>
      </w:r>
      <w:r w:rsidRPr="00EE64DD">
        <w:rPr>
          <w:lang w:val="uk-UA"/>
        </w:rPr>
        <w:t>посідають друге місце за обсягами надходжень до бюджету громади, поступаючись податку на доходи фізичних осіб і питома вага яких складає</w:t>
      </w:r>
      <w:r w:rsidRPr="00EE64DD">
        <w:t> </w:t>
      </w:r>
      <w:r w:rsidRPr="00EE64DD">
        <w:rPr>
          <w:lang w:val="uk-UA"/>
        </w:rPr>
        <w:t xml:space="preserve">19,2 відсотки власних надходжень. </w:t>
      </w:r>
    </w:p>
    <w:p w:rsidR="00AA4361" w:rsidRPr="00EE64DD" w:rsidRDefault="00AA4361" w:rsidP="00AA4361">
      <w:pPr>
        <w:ind w:firstLine="709"/>
        <w:jc w:val="both"/>
        <w:rPr>
          <w:b/>
          <w:i/>
          <w:u w:val="single"/>
          <w:lang w:val="uk-UA" w:eastAsia="uk-UA"/>
        </w:rPr>
      </w:pPr>
      <w:proofErr w:type="spellStart"/>
      <w:r w:rsidRPr="00EE64DD">
        <w:t>Фактичний</w:t>
      </w:r>
      <w:proofErr w:type="spellEnd"/>
      <w:r w:rsidRPr="00EE64DD">
        <w:t xml:space="preserve"> </w:t>
      </w:r>
      <w:proofErr w:type="spellStart"/>
      <w:r w:rsidRPr="00EE64DD">
        <w:t>обсяг</w:t>
      </w:r>
      <w:proofErr w:type="spellEnd"/>
      <w:r w:rsidRPr="00EE64DD">
        <w:t xml:space="preserve"> </w:t>
      </w:r>
      <w:proofErr w:type="spellStart"/>
      <w:r w:rsidRPr="00EE64DD">
        <w:t>їх</w:t>
      </w:r>
      <w:proofErr w:type="spellEnd"/>
      <w:r w:rsidRPr="00EE64DD">
        <w:t xml:space="preserve"> </w:t>
      </w:r>
      <w:proofErr w:type="spellStart"/>
      <w:r w:rsidRPr="00EE64DD">
        <w:t>надходжень</w:t>
      </w:r>
      <w:proofErr w:type="spellEnd"/>
      <w:r w:rsidRPr="00EE64DD">
        <w:t xml:space="preserve"> в </w:t>
      </w:r>
      <w:proofErr w:type="spellStart"/>
      <w:r w:rsidRPr="00EE64DD">
        <w:t>звітному</w:t>
      </w:r>
      <w:proofErr w:type="spellEnd"/>
      <w:r w:rsidRPr="00EE64DD">
        <w:t xml:space="preserve"> </w:t>
      </w:r>
      <w:proofErr w:type="spellStart"/>
      <w:r w:rsidRPr="00EE64DD">
        <w:t>періоді</w:t>
      </w:r>
      <w:proofErr w:type="spellEnd"/>
      <w:r w:rsidRPr="00EE64DD">
        <w:t xml:space="preserve"> становить </w:t>
      </w:r>
      <w:r w:rsidRPr="00EE64DD">
        <w:rPr>
          <w:lang w:val="uk-UA"/>
        </w:rPr>
        <w:t>3 345,1</w:t>
      </w:r>
      <w:r w:rsidRPr="00EE64DD">
        <w:t> тис</w:t>
      </w:r>
      <w:proofErr w:type="gramStart"/>
      <w:r w:rsidRPr="00EE64DD">
        <w:t>.</w:t>
      </w:r>
      <w:proofErr w:type="gramEnd"/>
      <w:r w:rsidRPr="00EE64DD">
        <w:t> </w:t>
      </w:r>
      <w:proofErr w:type="spellStart"/>
      <w:proofErr w:type="gramStart"/>
      <w:r w:rsidRPr="00EE64DD">
        <w:t>г</w:t>
      </w:r>
      <w:proofErr w:type="gramEnd"/>
      <w:r w:rsidRPr="00EE64DD">
        <w:t>рн</w:t>
      </w:r>
      <w:proofErr w:type="spellEnd"/>
      <w:r w:rsidRPr="00EE64DD">
        <w:t xml:space="preserve">., </w:t>
      </w:r>
      <w:proofErr w:type="spellStart"/>
      <w:r w:rsidRPr="00EE64DD">
        <w:t>або</w:t>
      </w:r>
      <w:proofErr w:type="spellEnd"/>
      <w:r w:rsidRPr="00EE64DD">
        <w:t xml:space="preserve"> </w:t>
      </w:r>
      <w:r w:rsidRPr="00EE64DD">
        <w:rPr>
          <w:lang w:val="uk-UA"/>
        </w:rPr>
        <w:t>156,1 відсотки</w:t>
      </w:r>
      <w:r w:rsidRPr="00EE64DD">
        <w:t xml:space="preserve"> </w:t>
      </w:r>
      <w:proofErr w:type="spellStart"/>
      <w:r w:rsidRPr="00EE64DD">
        <w:t>уточненого</w:t>
      </w:r>
      <w:proofErr w:type="spellEnd"/>
      <w:r w:rsidRPr="00EE64DD">
        <w:t xml:space="preserve"> плану на </w:t>
      </w:r>
      <w:r w:rsidRPr="00EE64DD">
        <w:rPr>
          <w:lang w:val="uk-UA"/>
        </w:rPr>
        <w:t>І квартал</w:t>
      </w:r>
      <w:r w:rsidRPr="00EE64DD">
        <w:t xml:space="preserve"> 202</w:t>
      </w:r>
      <w:r w:rsidRPr="00EE64DD">
        <w:rPr>
          <w:lang w:val="uk-UA"/>
        </w:rPr>
        <w:t>3</w:t>
      </w:r>
      <w:r w:rsidRPr="00EE64DD">
        <w:t xml:space="preserve"> року (уточнений план за </w:t>
      </w:r>
      <w:proofErr w:type="spellStart"/>
      <w:r w:rsidRPr="00EE64DD">
        <w:t>період</w:t>
      </w:r>
      <w:proofErr w:type="spellEnd"/>
      <w:r w:rsidRPr="00EE64DD">
        <w:t xml:space="preserve"> – </w:t>
      </w:r>
      <w:r w:rsidRPr="00EE64DD">
        <w:rPr>
          <w:lang w:val="uk-UA"/>
        </w:rPr>
        <w:t>2 143,2</w:t>
      </w:r>
      <w:r w:rsidRPr="00EE64DD">
        <w:t xml:space="preserve"> тис. </w:t>
      </w:r>
      <w:proofErr w:type="spellStart"/>
      <w:r w:rsidRPr="00EE64DD">
        <w:t>грн</w:t>
      </w:r>
      <w:proofErr w:type="spellEnd"/>
      <w:r w:rsidRPr="00EE64DD">
        <w:t>.).</w:t>
      </w:r>
      <w:r w:rsidRPr="00EE64DD">
        <w:rPr>
          <w:color w:val="FF0000"/>
        </w:rPr>
        <w:t xml:space="preserve"> </w:t>
      </w:r>
      <w:r w:rsidRPr="00EE64DD">
        <w:rPr>
          <w:lang w:eastAsia="uk-UA"/>
        </w:rPr>
        <w:t xml:space="preserve">У </w:t>
      </w:r>
      <w:proofErr w:type="spellStart"/>
      <w:r w:rsidRPr="00EE64DD">
        <w:rPr>
          <w:lang w:eastAsia="uk-UA"/>
        </w:rPr>
        <w:t>порівнянні</w:t>
      </w:r>
      <w:proofErr w:type="spellEnd"/>
      <w:r w:rsidRPr="00EE64DD">
        <w:rPr>
          <w:lang w:eastAsia="uk-UA"/>
        </w:rPr>
        <w:t xml:space="preserve"> </w:t>
      </w:r>
      <w:proofErr w:type="spellStart"/>
      <w:r w:rsidRPr="00EE64DD">
        <w:rPr>
          <w:lang w:eastAsia="uk-UA"/>
        </w:rPr>
        <w:t>з</w:t>
      </w:r>
      <w:proofErr w:type="spellEnd"/>
      <w:r w:rsidRPr="00EE64DD">
        <w:rPr>
          <w:lang w:eastAsia="uk-UA"/>
        </w:rPr>
        <w:t xml:space="preserve"> </w:t>
      </w:r>
      <w:proofErr w:type="spellStart"/>
      <w:r w:rsidRPr="00EE64DD">
        <w:rPr>
          <w:lang w:eastAsia="uk-UA"/>
        </w:rPr>
        <w:t>аналогічним</w:t>
      </w:r>
      <w:proofErr w:type="spellEnd"/>
      <w:r w:rsidRPr="00EE64DD">
        <w:rPr>
          <w:lang w:eastAsia="uk-UA"/>
        </w:rPr>
        <w:t xml:space="preserve"> </w:t>
      </w:r>
      <w:proofErr w:type="spellStart"/>
      <w:r w:rsidRPr="00EE64DD">
        <w:rPr>
          <w:lang w:eastAsia="uk-UA"/>
        </w:rPr>
        <w:t>періодом</w:t>
      </w:r>
      <w:proofErr w:type="spellEnd"/>
      <w:r w:rsidRPr="00EE64DD">
        <w:rPr>
          <w:lang w:eastAsia="uk-UA"/>
        </w:rPr>
        <w:t xml:space="preserve">   </w:t>
      </w:r>
      <w:proofErr w:type="spellStart"/>
      <w:r w:rsidRPr="00EE64DD">
        <w:rPr>
          <w:lang w:eastAsia="uk-UA"/>
        </w:rPr>
        <w:t>минулого</w:t>
      </w:r>
      <w:proofErr w:type="spellEnd"/>
      <w:r w:rsidRPr="00EE64DD">
        <w:rPr>
          <w:lang w:eastAsia="uk-UA"/>
        </w:rPr>
        <w:t xml:space="preserve">  року  </w:t>
      </w:r>
      <w:proofErr w:type="spellStart"/>
      <w:r w:rsidRPr="00EE64DD">
        <w:rPr>
          <w:lang w:eastAsia="uk-UA"/>
        </w:rPr>
        <w:t>надходження</w:t>
      </w:r>
      <w:proofErr w:type="spellEnd"/>
      <w:r w:rsidRPr="00EE64DD">
        <w:rPr>
          <w:lang w:eastAsia="uk-UA"/>
        </w:rPr>
        <w:t xml:space="preserve"> </w:t>
      </w:r>
      <w:proofErr w:type="spellStart"/>
      <w:r w:rsidRPr="00EE64DD">
        <w:rPr>
          <w:lang w:eastAsia="uk-UA"/>
        </w:rPr>
        <w:t>збільшились</w:t>
      </w:r>
      <w:proofErr w:type="spellEnd"/>
      <w:r w:rsidRPr="00EE64DD">
        <w:rPr>
          <w:lang w:eastAsia="uk-UA"/>
        </w:rPr>
        <w:t xml:space="preserve"> на суму </w:t>
      </w:r>
      <w:r w:rsidRPr="00EE64DD">
        <w:rPr>
          <w:lang w:val="uk-UA" w:eastAsia="uk-UA"/>
        </w:rPr>
        <w:t>793,8</w:t>
      </w:r>
      <w:r w:rsidRPr="00EE64DD">
        <w:rPr>
          <w:lang w:eastAsia="uk-UA"/>
        </w:rPr>
        <w:t xml:space="preserve"> тис</w:t>
      </w:r>
      <w:proofErr w:type="gramStart"/>
      <w:r w:rsidRPr="00EE64DD">
        <w:rPr>
          <w:lang w:eastAsia="uk-UA"/>
        </w:rPr>
        <w:t>.</w:t>
      </w:r>
      <w:proofErr w:type="gramEnd"/>
      <w:r w:rsidRPr="00EE64DD">
        <w:rPr>
          <w:lang w:eastAsia="uk-UA"/>
        </w:rPr>
        <w:t xml:space="preserve"> </w:t>
      </w:r>
      <w:proofErr w:type="spellStart"/>
      <w:proofErr w:type="gramStart"/>
      <w:r w:rsidRPr="00EE64DD">
        <w:rPr>
          <w:lang w:eastAsia="uk-UA"/>
        </w:rPr>
        <w:t>г</w:t>
      </w:r>
      <w:proofErr w:type="gramEnd"/>
      <w:r w:rsidRPr="00EE64DD">
        <w:rPr>
          <w:lang w:eastAsia="uk-UA"/>
        </w:rPr>
        <w:t>рн</w:t>
      </w:r>
      <w:proofErr w:type="spellEnd"/>
      <w:r w:rsidRPr="00EE64DD">
        <w:rPr>
          <w:lang w:eastAsia="uk-UA"/>
        </w:rPr>
        <w:t>.</w:t>
      </w:r>
      <w:r w:rsidRPr="00EE64DD">
        <w:rPr>
          <w:lang w:val="uk-UA" w:eastAsia="uk-UA"/>
        </w:rPr>
        <w:t xml:space="preserve"> або на 31,1 відсотки.</w:t>
      </w:r>
    </w:p>
    <w:p w:rsidR="00AA4361" w:rsidRPr="00EE64DD" w:rsidRDefault="00AA4361" w:rsidP="00AA4361">
      <w:pPr>
        <w:ind w:firstLine="709"/>
        <w:jc w:val="both"/>
      </w:pPr>
      <w:r w:rsidRPr="00EE64DD">
        <w:t xml:space="preserve">В </w:t>
      </w:r>
      <w:proofErr w:type="spellStart"/>
      <w:r w:rsidRPr="00EE64DD">
        <w:t>структурі</w:t>
      </w:r>
      <w:proofErr w:type="spellEnd"/>
      <w:r w:rsidRPr="00EE64DD">
        <w:t xml:space="preserve"> </w:t>
      </w:r>
      <w:proofErr w:type="spellStart"/>
      <w:r w:rsidRPr="00EE64DD">
        <w:t>місцевих</w:t>
      </w:r>
      <w:proofErr w:type="spellEnd"/>
      <w:r w:rsidRPr="00EE64DD">
        <w:t xml:space="preserve"> </w:t>
      </w:r>
      <w:proofErr w:type="spellStart"/>
      <w:r w:rsidRPr="00EE64DD">
        <w:t>податків</w:t>
      </w:r>
      <w:proofErr w:type="spellEnd"/>
      <w:r w:rsidRPr="00EE64DD">
        <w:t xml:space="preserve"> </w:t>
      </w:r>
      <w:proofErr w:type="spellStart"/>
      <w:r w:rsidRPr="00EE64DD">
        <w:t>і</w:t>
      </w:r>
      <w:proofErr w:type="spellEnd"/>
      <w:r w:rsidRPr="00EE64DD">
        <w:t xml:space="preserve"> </w:t>
      </w:r>
      <w:proofErr w:type="spellStart"/>
      <w:r w:rsidRPr="00EE64DD">
        <w:t>зборів</w:t>
      </w:r>
      <w:proofErr w:type="spellEnd"/>
      <w:r w:rsidRPr="00EE64DD">
        <w:t xml:space="preserve"> за </w:t>
      </w:r>
      <w:proofErr w:type="spellStart"/>
      <w:r w:rsidRPr="00EE64DD">
        <w:t>січень</w:t>
      </w:r>
      <w:proofErr w:type="spellEnd"/>
      <w:r w:rsidRPr="00EE64DD">
        <w:t>-</w:t>
      </w:r>
      <w:r w:rsidRPr="00EE64DD">
        <w:rPr>
          <w:lang w:val="uk-UA"/>
        </w:rPr>
        <w:t>березень</w:t>
      </w:r>
      <w:r w:rsidRPr="00EE64DD">
        <w:t xml:space="preserve"> 202</w:t>
      </w:r>
      <w:r w:rsidRPr="00EE64DD">
        <w:rPr>
          <w:lang w:val="uk-UA"/>
        </w:rPr>
        <w:t>3(</w:t>
      </w:r>
      <w:r w:rsidRPr="00EE64DD">
        <w:t>202</w:t>
      </w:r>
      <w:r w:rsidRPr="00EE64DD">
        <w:rPr>
          <w:lang w:val="uk-UA"/>
        </w:rPr>
        <w:t>2)</w:t>
      </w:r>
      <w:r w:rsidRPr="00EE64DD">
        <w:t xml:space="preserve"> </w:t>
      </w:r>
      <w:proofErr w:type="spellStart"/>
      <w:r w:rsidRPr="00EE64DD">
        <w:t>років</w:t>
      </w:r>
      <w:proofErr w:type="spellEnd"/>
      <w:r w:rsidRPr="00EE64DD">
        <w:t xml:space="preserve"> </w:t>
      </w:r>
      <w:proofErr w:type="spellStart"/>
      <w:r w:rsidRPr="00EE64DD">
        <w:t>забезпечено</w:t>
      </w:r>
      <w:proofErr w:type="spellEnd"/>
      <w:r w:rsidRPr="00EE64DD">
        <w:t xml:space="preserve"> </w:t>
      </w:r>
      <w:proofErr w:type="spellStart"/>
      <w:r w:rsidRPr="00EE64DD">
        <w:t>надходження</w:t>
      </w:r>
      <w:proofErr w:type="spellEnd"/>
      <w:r w:rsidRPr="00EE64DD">
        <w:t xml:space="preserve"> </w:t>
      </w:r>
      <w:proofErr w:type="gramStart"/>
      <w:r w:rsidRPr="00EE64DD">
        <w:t>по</w:t>
      </w:r>
      <w:proofErr w:type="gramEnd"/>
      <w:r w:rsidRPr="00EE64DD">
        <w:t>:</w:t>
      </w:r>
    </w:p>
    <w:p w:rsidR="00AA4361" w:rsidRPr="00EE64DD" w:rsidRDefault="00AA4361" w:rsidP="00AA4361">
      <w:pPr>
        <w:ind w:firstLine="709"/>
        <w:jc w:val="both"/>
      </w:pPr>
      <w:r w:rsidRPr="00EE64DD">
        <w:t>- </w:t>
      </w:r>
      <w:proofErr w:type="spellStart"/>
      <w:r w:rsidRPr="00EE64DD">
        <w:t>єдиному</w:t>
      </w:r>
      <w:proofErr w:type="spellEnd"/>
      <w:r w:rsidRPr="00EE64DD">
        <w:t xml:space="preserve"> </w:t>
      </w:r>
      <w:proofErr w:type="spellStart"/>
      <w:r w:rsidRPr="00EE64DD">
        <w:t>податку</w:t>
      </w:r>
      <w:proofErr w:type="spellEnd"/>
      <w:r w:rsidRPr="00EE64DD">
        <w:t xml:space="preserve"> –</w:t>
      </w:r>
      <w:r w:rsidRPr="00EE64DD">
        <w:rPr>
          <w:lang w:val="uk-UA"/>
        </w:rPr>
        <w:t xml:space="preserve"> 57,8  </w:t>
      </w:r>
      <w:r w:rsidRPr="00EE64DD">
        <w:t>(</w:t>
      </w:r>
      <w:r w:rsidRPr="00EE64DD">
        <w:rPr>
          <w:lang w:val="uk-UA"/>
        </w:rPr>
        <w:t>73,8) відсотки</w:t>
      </w:r>
      <w:r w:rsidRPr="00EE64DD">
        <w:t xml:space="preserve">; </w:t>
      </w:r>
    </w:p>
    <w:p w:rsidR="00AA4361" w:rsidRPr="00EE64DD" w:rsidRDefault="00AA4361" w:rsidP="00AA4361">
      <w:pPr>
        <w:ind w:firstLine="709"/>
        <w:jc w:val="both"/>
      </w:pPr>
      <w:r w:rsidRPr="00EE64DD">
        <w:t>- </w:t>
      </w:r>
      <w:proofErr w:type="gramStart"/>
      <w:r w:rsidRPr="00EE64DD">
        <w:t>земельному</w:t>
      </w:r>
      <w:proofErr w:type="gramEnd"/>
      <w:r w:rsidRPr="00EE64DD">
        <w:t xml:space="preserve"> </w:t>
      </w:r>
      <w:proofErr w:type="spellStart"/>
      <w:r w:rsidRPr="00EE64DD">
        <w:t>податку</w:t>
      </w:r>
      <w:proofErr w:type="spellEnd"/>
      <w:r w:rsidRPr="00EE64DD">
        <w:t xml:space="preserve"> </w:t>
      </w:r>
      <w:r w:rsidRPr="00EE64DD">
        <w:rPr>
          <w:lang w:val="uk-UA"/>
        </w:rPr>
        <w:t xml:space="preserve">та </w:t>
      </w:r>
      <w:proofErr w:type="spellStart"/>
      <w:r w:rsidRPr="00EE64DD">
        <w:t>орендній</w:t>
      </w:r>
      <w:proofErr w:type="spellEnd"/>
      <w:r w:rsidRPr="00EE64DD">
        <w:t xml:space="preserve"> </w:t>
      </w:r>
      <w:proofErr w:type="spellStart"/>
      <w:r w:rsidRPr="00EE64DD">
        <w:t>платі</w:t>
      </w:r>
      <w:proofErr w:type="spellEnd"/>
      <w:r w:rsidRPr="00EE64DD">
        <w:t xml:space="preserve"> за землю – </w:t>
      </w:r>
      <w:r w:rsidRPr="00EE64DD">
        <w:rPr>
          <w:lang w:val="uk-UA"/>
        </w:rPr>
        <w:t xml:space="preserve">35,0 </w:t>
      </w:r>
      <w:r w:rsidRPr="00EE64DD">
        <w:t>(</w:t>
      </w:r>
      <w:r w:rsidRPr="00EE64DD">
        <w:rPr>
          <w:lang w:val="uk-UA"/>
        </w:rPr>
        <w:t>21,6) відсотки</w:t>
      </w:r>
      <w:r w:rsidRPr="00EE64DD">
        <w:t>;</w:t>
      </w:r>
    </w:p>
    <w:p w:rsidR="00AA4361" w:rsidRPr="00EE64DD" w:rsidRDefault="00AA4361" w:rsidP="00AA4361">
      <w:pPr>
        <w:ind w:firstLine="709"/>
        <w:jc w:val="both"/>
        <w:rPr>
          <w:lang w:val="uk-UA"/>
        </w:rPr>
      </w:pPr>
      <w:r w:rsidRPr="00EE64DD">
        <w:t>- </w:t>
      </w:r>
      <w:proofErr w:type="spellStart"/>
      <w:r w:rsidRPr="00EE64DD">
        <w:t>податку</w:t>
      </w:r>
      <w:proofErr w:type="spellEnd"/>
      <w:r w:rsidRPr="00EE64DD">
        <w:t xml:space="preserve"> на </w:t>
      </w:r>
      <w:proofErr w:type="spellStart"/>
      <w:r w:rsidRPr="00EE64DD">
        <w:t>нерухоме</w:t>
      </w:r>
      <w:proofErr w:type="spellEnd"/>
      <w:r w:rsidRPr="00EE64DD">
        <w:t xml:space="preserve"> </w:t>
      </w:r>
      <w:proofErr w:type="spellStart"/>
      <w:r w:rsidRPr="00EE64DD">
        <w:t>майно</w:t>
      </w:r>
      <w:proofErr w:type="spellEnd"/>
      <w:r w:rsidRPr="00EE64DD">
        <w:t xml:space="preserve">, </w:t>
      </w:r>
      <w:proofErr w:type="spellStart"/>
      <w:r w:rsidRPr="00EE64DD">
        <w:t>відмінне</w:t>
      </w:r>
      <w:proofErr w:type="spellEnd"/>
      <w:r w:rsidRPr="00EE64DD">
        <w:t xml:space="preserve"> </w:t>
      </w:r>
      <w:proofErr w:type="spellStart"/>
      <w:r w:rsidRPr="00EE64DD">
        <w:t>від</w:t>
      </w:r>
      <w:proofErr w:type="spellEnd"/>
      <w:r w:rsidRPr="00EE64DD">
        <w:t xml:space="preserve"> </w:t>
      </w:r>
      <w:proofErr w:type="spellStart"/>
      <w:r w:rsidRPr="00EE64DD">
        <w:t>земельної</w:t>
      </w:r>
      <w:proofErr w:type="spellEnd"/>
      <w:r w:rsidRPr="00EE64DD">
        <w:t xml:space="preserve"> </w:t>
      </w:r>
      <w:proofErr w:type="spellStart"/>
      <w:r w:rsidRPr="00EE64DD">
        <w:t>ділянки</w:t>
      </w:r>
      <w:proofErr w:type="spellEnd"/>
      <w:r w:rsidRPr="00EE64DD">
        <w:t xml:space="preserve"> – </w:t>
      </w:r>
      <w:r w:rsidRPr="00EE64DD">
        <w:rPr>
          <w:lang w:val="uk-UA"/>
        </w:rPr>
        <w:t xml:space="preserve">5,6 </w:t>
      </w:r>
      <w:r w:rsidRPr="00EE64DD">
        <w:t>(</w:t>
      </w:r>
      <w:r w:rsidRPr="00EE64DD">
        <w:rPr>
          <w:lang w:val="uk-UA"/>
        </w:rPr>
        <w:t>2,6) відсотки;</w:t>
      </w:r>
    </w:p>
    <w:p w:rsidR="00AA4361" w:rsidRPr="00EE64DD" w:rsidRDefault="00AA4361" w:rsidP="00AA4361">
      <w:pPr>
        <w:ind w:firstLine="709"/>
        <w:jc w:val="both"/>
        <w:rPr>
          <w:lang w:val="uk-UA"/>
        </w:rPr>
      </w:pPr>
      <w:r w:rsidRPr="00EE64DD">
        <w:t xml:space="preserve">-  </w:t>
      </w:r>
      <w:proofErr w:type="spellStart"/>
      <w:r w:rsidRPr="00EE64DD">
        <w:t>туристичному</w:t>
      </w:r>
      <w:proofErr w:type="spellEnd"/>
      <w:r w:rsidRPr="00EE64DD">
        <w:t xml:space="preserve"> </w:t>
      </w:r>
      <w:proofErr w:type="spellStart"/>
      <w:r w:rsidRPr="00EE64DD">
        <w:t>збору</w:t>
      </w:r>
      <w:proofErr w:type="spellEnd"/>
      <w:r w:rsidRPr="00EE64DD">
        <w:t xml:space="preserve"> – 1,</w:t>
      </w:r>
      <w:r w:rsidRPr="00EE64DD">
        <w:rPr>
          <w:lang w:val="uk-UA"/>
        </w:rPr>
        <w:t xml:space="preserve">6 </w:t>
      </w:r>
      <w:r w:rsidRPr="00EE64DD">
        <w:t xml:space="preserve"> (</w:t>
      </w:r>
      <w:r w:rsidRPr="00EE64DD">
        <w:rPr>
          <w:lang w:val="uk-UA"/>
        </w:rPr>
        <w:t>2</w:t>
      </w:r>
      <w:r w:rsidRPr="00EE64DD">
        <w:t>,</w:t>
      </w:r>
      <w:r w:rsidRPr="00EE64DD">
        <w:rPr>
          <w:lang w:val="uk-UA"/>
        </w:rPr>
        <w:t>0) відсотки</w:t>
      </w:r>
      <w:r w:rsidRPr="00EE64DD">
        <w:t>.</w:t>
      </w:r>
    </w:p>
    <w:p w:rsidR="00AA4361" w:rsidRPr="00EE64DD" w:rsidRDefault="00AA4361" w:rsidP="00AA4361">
      <w:pPr>
        <w:ind w:firstLine="709"/>
        <w:jc w:val="both"/>
        <w:rPr>
          <w:lang w:val="uk-UA"/>
        </w:rPr>
      </w:pPr>
    </w:p>
    <w:p w:rsidR="00AA4361" w:rsidRPr="00EE64DD" w:rsidRDefault="00AA4361" w:rsidP="00AA4361">
      <w:pPr>
        <w:pStyle w:val="aa"/>
        <w:spacing w:before="0" w:after="0"/>
        <w:ind w:left="0" w:firstLine="708"/>
        <w:rPr>
          <w:color w:val="000000"/>
        </w:rPr>
      </w:pPr>
      <w:r w:rsidRPr="00EE64DD">
        <w:t xml:space="preserve">Протягом звітного періоду </w:t>
      </w:r>
      <w:r w:rsidRPr="00EE64DD">
        <w:rPr>
          <w:b/>
        </w:rPr>
        <w:t>єдиного податку</w:t>
      </w:r>
      <w:r w:rsidRPr="00EE64DD">
        <w:t xml:space="preserve"> до бюджету громади  надійшло  1934,4 тис. грн., що складає 137,9 відсотки до уточненого плану (уточнений план – 1402,9 </w:t>
      </w:r>
      <w:proofErr w:type="spellStart"/>
      <w:r w:rsidRPr="00EE64DD">
        <w:t>тис.грн</w:t>
      </w:r>
      <w:proofErr w:type="spellEnd"/>
      <w:r w:rsidRPr="00EE64DD">
        <w:t xml:space="preserve">.). </w:t>
      </w:r>
      <w:r w:rsidRPr="00EE64DD">
        <w:rPr>
          <w:color w:val="000000"/>
        </w:rPr>
        <w:t>Порівняно з І кварталом 2022 року надходження єдиного податку збільшились на  52,5 тис. грн.</w:t>
      </w:r>
    </w:p>
    <w:p w:rsidR="00AA4361" w:rsidRPr="00EE64DD" w:rsidRDefault="00AA4361" w:rsidP="00AA4361">
      <w:pPr>
        <w:pStyle w:val="ab"/>
        <w:ind w:firstLine="709"/>
        <w:jc w:val="both"/>
        <w:rPr>
          <w:lang w:val="uk-UA"/>
        </w:rPr>
      </w:pPr>
      <w:proofErr w:type="spellStart"/>
      <w:r w:rsidRPr="00EE64DD">
        <w:t>Питома</w:t>
      </w:r>
      <w:proofErr w:type="spellEnd"/>
      <w:r w:rsidRPr="00EE64DD">
        <w:t xml:space="preserve"> вага  </w:t>
      </w:r>
      <w:r w:rsidRPr="00EE64DD">
        <w:rPr>
          <w:lang w:val="uk-UA"/>
        </w:rPr>
        <w:t>єдиного податку</w:t>
      </w:r>
      <w:r w:rsidRPr="00EE64DD">
        <w:t xml:space="preserve"> у  </w:t>
      </w:r>
      <w:proofErr w:type="spellStart"/>
      <w:r w:rsidRPr="00EE64DD">
        <w:t>складі</w:t>
      </w:r>
      <w:proofErr w:type="spellEnd"/>
      <w:r w:rsidRPr="00EE64DD">
        <w:t xml:space="preserve"> </w:t>
      </w:r>
      <w:r w:rsidRPr="00EE64DD">
        <w:rPr>
          <w:lang w:val="uk-UA"/>
        </w:rPr>
        <w:t xml:space="preserve">місцевих податків </w:t>
      </w:r>
      <w:r w:rsidRPr="00EE64DD">
        <w:t xml:space="preserve">становить </w:t>
      </w:r>
      <w:r w:rsidRPr="00EE64DD">
        <w:rPr>
          <w:lang w:val="uk-UA"/>
        </w:rPr>
        <w:t>57,8</w:t>
      </w:r>
      <w:r w:rsidRPr="00EE64DD">
        <w:t xml:space="preserve"> </w:t>
      </w:r>
      <w:proofErr w:type="spellStart"/>
      <w:r w:rsidRPr="00EE64DD">
        <w:t>відсотк</w:t>
      </w:r>
      <w:r w:rsidRPr="00EE64DD">
        <w:rPr>
          <w:lang w:val="uk-UA"/>
        </w:rPr>
        <w:t>ів</w:t>
      </w:r>
      <w:proofErr w:type="spellEnd"/>
      <w:r w:rsidRPr="00EE64DD">
        <w:t xml:space="preserve">. Структуру </w:t>
      </w:r>
      <w:proofErr w:type="spellStart"/>
      <w:r w:rsidRPr="00EE64DD">
        <w:t>надходжень</w:t>
      </w:r>
      <w:proofErr w:type="spellEnd"/>
      <w:r w:rsidRPr="00EE64DD">
        <w:t xml:space="preserve"> </w:t>
      </w:r>
      <w:proofErr w:type="spellStart"/>
      <w:r w:rsidRPr="00EE64DD">
        <w:t>єдиного</w:t>
      </w:r>
      <w:proofErr w:type="spellEnd"/>
      <w:r w:rsidRPr="00EE64DD">
        <w:t xml:space="preserve"> </w:t>
      </w:r>
      <w:proofErr w:type="spellStart"/>
      <w:r w:rsidRPr="00EE64DD">
        <w:t>податку</w:t>
      </w:r>
      <w:proofErr w:type="spellEnd"/>
      <w:r w:rsidRPr="00EE64DD">
        <w:t xml:space="preserve"> </w:t>
      </w:r>
      <w:proofErr w:type="spellStart"/>
      <w:r w:rsidRPr="00EE64DD">
        <w:t>форму</w:t>
      </w:r>
      <w:proofErr w:type="gramStart"/>
      <w:r w:rsidRPr="00EE64DD">
        <w:t>є</w:t>
      </w:r>
      <w:proofErr w:type="spellEnd"/>
      <w:r w:rsidRPr="00EE64DD">
        <w:t>:</w:t>
      </w:r>
      <w:proofErr w:type="gramEnd"/>
      <w:r w:rsidRPr="00EE64DD">
        <w:t xml:space="preserve"> </w:t>
      </w:r>
      <w:proofErr w:type="spellStart"/>
      <w:r w:rsidRPr="00EE64DD">
        <w:t>єдиний</w:t>
      </w:r>
      <w:proofErr w:type="spellEnd"/>
      <w:r w:rsidRPr="00EE64DD">
        <w:t xml:space="preserve"> </w:t>
      </w:r>
      <w:proofErr w:type="spellStart"/>
      <w:r w:rsidRPr="00EE64DD">
        <w:t>податок</w:t>
      </w:r>
      <w:proofErr w:type="spellEnd"/>
      <w:r w:rsidRPr="00EE64DD">
        <w:t xml:space="preserve"> </w:t>
      </w:r>
      <w:proofErr w:type="spellStart"/>
      <w:r w:rsidRPr="00EE64DD">
        <w:t>з</w:t>
      </w:r>
      <w:proofErr w:type="spellEnd"/>
      <w:r w:rsidRPr="00EE64DD">
        <w:t xml:space="preserve"> </w:t>
      </w:r>
      <w:proofErr w:type="spellStart"/>
      <w:r w:rsidRPr="00EE64DD">
        <w:t>фізичних</w:t>
      </w:r>
      <w:proofErr w:type="spellEnd"/>
      <w:r w:rsidRPr="00EE64DD">
        <w:t xml:space="preserve"> </w:t>
      </w:r>
      <w:proofErr w:type="spellStart"/>
      <w:r w:rsidRPr="00EE64DD">
        <w:t>осіб</w:t>
      </w:r>
      <w:proofErr w:type="spellEnd"/>
      <w:r w:rsidRPr="00EE64DD">
        <w:t xml:space="preserve"> (</w:t>
      </w:r>
      <w:r w:rsidRPr="00EE64DD">
        <w:rPr>
          <w:lang w:val="uk-UA"/>
        </w:rPr>
        <w:t>84,6</w:t>
      </w:r>
      <w:r w:rsidRPr="00EE64DD">
        <w:t xml:space="preserve"> </w:t>
      </w:r>
      <w:proofErr w:type="spellStart"/>
      <w:r w:rsidRPr="00EE64DD">
        <w:t>відсотки</w:t>
      </w:r>
      <w:proofErr w:type="spellEnd"/>
      <w:r w:rsidRPr="00EE64DD">
        <w:t xml:space="preserve">), </w:t>
      </w:r>
      <w:proofErr w:type="spellStart"/>
      <w:r w:rsidRPr="00EE64DD">
        <w:t>єдиний</w:t>
      </w:r>
      <w:proofErr w:type="spellEnd"/>
      <w:r w:rsidRPr="00EE64DD">
        <w:t xml:space="preserve"> </w:t>
      </w:r>
      <w:proofErr w:type="spellStart"/>
      <w:r w:rsidRPr="00EE64DD">
        <w:t>податок</w:t>
      </w:r>
      <w:proofErr w:type="spellEnd"/>
      <w:r w:rsidRPr="00EE64DD">
        <w:t xml:space="preserve"> </w:t>
      </w:r>
      <w:proofErr w:type="spellStart"/>
      <w:r w:rsidRPr="00EE64DD">
        <w:t>з</w:t>
      </w:r>
      <w:proofErr w:type="spellEnd"/>
      <w:r w:rsidRPr="00EE64DD">
        <w:t xml:space="preserve"> </w:t>
      </w:r>
      <w:proofErr w:type="spellStart"/>
      <w:r w:rsidRPr="00EE64DD">
        <w:t>юридичних</w:t>
      </w:r>
      <w:proofErr w:type="spellEnd"/>
      <w:r w:rsidRPr="00EE64DD">
        <w:t xml:space="preserve"> </w:t>
      </w:r>
      <w:proofErr w:type="spellStart"/>
      <w:r w:rsidRPr="00EE64DD">
        <w:t>осіб</w:t>
      </w:r>
      <w:proofErr w:type="spellEnd"/>
      <w:r w:rsidRPr="00EE64DD">
        <w:t xml:space="preserve"> (</w:t>
      </w:r>
      <w:r w:rsidRPr="00EE64DD">
        <w:rPr>
          <w:lang w:val="uk-UA"/>
        </w:rPr>
        <w:t>14,8</w:t>
      </w:r>
      <w:r w:rsidRPr="00EE64DD">
        <w:t xml:space="preserve"> </w:t>
      </w:r>
      <w:proofErr w:type="spellStart"/>
      <w:r w:rsidRPr="00EE64DD">
        <w:t>відсотки</w:t>
      </w:r>
      <w:proofErr w:type="spellEnd"/>
      <w:r w:rsidRPr="00EE64DD">
        <w:t xml:space="preserve">), </w:t>
      </w:r>
      <w:proofErr w:type="spellStart"/>
      <w:r w:rsidRPr="00EE64DD">
        <w:t>єдиний</w:t>
      </w:r>
      <w:proofErr w:type="spellEnd"/>
      <w:r w:rsidRPr="00EE64DD">
        <w:t xml:space="preserve"> </w:t>
      </w:r>
      <w:proofErr w:type="spellStart"/>
      <w:r w:rsidRPr="00EE64DD">
        <w:t>податок</w:t>
      </w:r>
      <w:proofErr w:type="spellEnd"/>
      <w:r w:rsidRPr="00EE64DD">
        <w:t xml:space="preserve"> </w:t>
      </w:r>
      <w:proofErr w:type="spellStart"/>
      <w:r w:rsidRPr="00EE64DD">
        <w:t>з</w:t>
      </w:r>
      <w:proofErr w:type="spellEnd"/>
      <w:r w:rsidRPr="00EE64DD">
        <w:t xml:space="preserve"> </w:t>
      </w:r>
      <w:proofErr w:type="spellStart"/>
      <w:r w:rsidRPr="00EE64DD">
        <w:t>сільськогосподарських</w:t>
      </w:r>
      <w:proofErr w:type="spellEnd"/>
      <w:r w:rsidRPr="00EE64DD">
        <w:t xml:space="preserve"> </w:t>
      </w:r>
      <w:proofErr w:type="spellStart"/>
      <w:r w:rsidRPr="00EE64DD">
        <w:t>товаровиробників</w:t>
      </w:r>
      <w:proofErr w:type="spellEnd"/>
      <w:r w:rsidRPr="00EE64DD">
        <w:t xml:space="preserve"> (0,</w:t>
      </w:r>
      <w:r w:rsidRPr="00EE64DD">
        <w:rPr>
          <w:lang w:val="uk-UA"/>
        </w:rPr>
        <w:t>6</w:t>
      </w:r>
      <w:r w:rsidRPr="00EE64DD">
        <w:t xml:space="preserve"> </w:t>
      </w:r>
      <w:proofErr w:type="spellStart"/>
      <w:r w:rsidRPr="00EE64DD">
        <w:t>відсотки</w:t>
      </w:r>
      <w:proofErr w:type="spellEnd"/>
      <w:r w:rsidRPr="00EE64DD">
        <w:t>).</w:t>
      </w:r>
    </w:p>
    <w:p w:rsidR="00AA4361" w:rsidRPr="00EE64DD" w:rsidRDefault="00AA4361" w:rsidP="00AA4361">
      <w:pPr>
        <w:pStyle w:val="aa"/>
        <w:spacing w:before="0" w:after="0"/>
        <w:ind w:left="0" w:firstLine="708"/>
        <w:rPr>
          <w:color w:val="000000"/>
        </w:rPr>
      </w:pPr>
      <w:r w:rsidRPr="00EE64DD">
        <w:t xml:space="preserve">Надходження єдиного податку з фізичних осіб становлять 1 636,8 тис. грн., що складає 128,7 відсотки до уточненого плану на вказаний період (уточнений план за період – 1 271,3 тис. грн.).  </w:t>
      </w:r>
    </w:p>
    <w:p w:rsidR="00AA4361" w:rsidRPr="00EE64DD" w:rsidRDefault="00AA4361" w:rsidP="00AA4361">
      <w:pPr>
        <w:tabs>
          <w:tab w:val="left" w:pos="720"/>
        </w:tabs>
        <w:ind w:firstLine="709"/>
        <w:jc w:val="both"/>
        <w:rPr>
          <w:lang w:val="uk-UA"/>
        </w:rPr>
      </w:pPr>
      <w:r w:rsidRPr="00EE64DD">
        <w:rPr>
          <w:lang w:val="uk-UA"/>
        </w:rPr>
        <w:lastRenderedPageBreak/>
        <w:t xml:space="preserve">Найбільшими платниками даного податку є </w:t>
      </w:r>
      <w:proofErr w:type="spellStart"/>
      <w:r w:rsidRPr="00EE64DD">
        <w:rPr>
          <w:lang w:val="uk-UA"/>
        </w:rPr>
        <w:t>ФОП</w:t>
      </w:r>
      <w:proofErr w:type="spellEnd"/>
      <w:r w:rsidRPr="00EE64DD">
        <w:rPr>
          <w:lang w:val="uk-UA"/>
        </w:rPr>
        <w:t xml:space="preserve"> Левицький Л.В. – 70,1 тис. грн., </w:t>
      </w:r>
      <w:proofErr w:type="spellStart"/>
      <w:r w:rsidRPr="00EE64DD">
        <w:rPr>
          <w:lang w:val="uk-UA"/>
        </w:rPr>
        <w:t>ФОП</w:t>
      </w:r>
      <w:proofErr w:type="spellEnd"/>
      <w:r w:rsidRPr="00EE64DD">
        <w:rPr>
          <w:lang w:val="uk-UA"/>
        </w:rPr>
        <w:t xml:space="preserve"> Зеленчук І.М. – 52,5 тис. </w:t>
      </w:r>
      <w:proofErr w:type="spellStart"/>
      <w:r w:rsidRPr="00EE64DD">
        <w:rPr>
          <w:lang w:val="uk-UA"/>
        </w:rPr>
        <w:t>грн</w:t>
      </w:r>
      <w:proofErr w:type="spellEnd"/>
      <w:r w:rsidRPr="00EE64DD">
        <w:rPr>
          <w:lang w:val="uk-UA"/>
        </w:rPr>
        <w:t xml:space="preserve">, </w:t>
      </w:r>
      <w:proofErr w:type="spellStart"/>
      <w:r w:rsidRPr="00EE64DD">
        <w:rPr>
          <w:lang w:val="uk-UA"/>
        </w:rPr>
        <w:t>ФОП</w:t>
      </w:r>
      <w:proofErr w:type="spellEnd"/>
      <w:r w:rsidRPr="00EE64DD">
        <w:rPr>
          <w:lang w:val="uk-UA"/>
        </w:rPr>
        <w:t xml:space="preserve"> </w:t>
      </w:r>
      <w:proofErr w:type="spellStart"/>
      <w:r w:rsidRPr="00EE64DD">
        <w:rPr>
          <w:lang w:val="uk-UA"/>
        </w:rPr>
        <w:t>Ігнатюк</w:t>
      </w:r>
      <w:proofErr w:type="spellEnd"/>
      <w:r w:rsidRPr="00EE64DD">
        <w:rPr>
          <w:lang w:val="uk-UA"/>
        </w:rPr>
        <w:t xml:space="preserve"> А.О. – 40,8 тис. грн., </w:t>
      </w:r>
      <w:proofErr w:type="spellStart"/>
      <w:r w:rsidRPr="00EE64DD">
        <w:rPr>
          <w:lang w:val="uk-UA"/>
        </w:rPr>
        <w:t>ФОП</w:t>
      </w:r>
      <w:proofErr w:type="spellEnd"/>
      <w:r w:rsidRPr="00EE64DD">
        <w:rPr>
          <w:lang w:val="uk-UA"/>
        </w:rPr>
        <w:t xml:space="preserve"> </w:t>
      </w:r>
      <w:proofErr w:type="spellStart"/>
      <w:r w:rsidRPr="00EE64DD">
        <w:rPr>
          <w:lang w:val="uk-UA"/>
        </w:rPr>
        <w:t>Бельмега</w:t>
      </w:r>
      <w:proofErr w:type="spellEnd"/>
      <w:r w:rsidRPr="00EE64DD">
        <w:rPr>
          <w:lang w:val="uk-UA"/>
        </w:rPr>
        <w:t xml:space="preserve"> С.О. – 37,1 тис. грн., та </w:t>
      </w:r>
      <w:proofErr w:type="spellStart"/>
      <w:r w:rsidRPr="00EE64DD">
        <w:rPr>
          <w:lang w:val="uk-UA"/>
        </w:rPr>
        <w:t>ФОП</w:t>
      </w:r>
      <w:proofErr w:type="spellEnd"/>
      <w:r w:rsidRPr="00EE64DD">
        <w:rPr>
          <w:lang w:val="uk-UA"/>
        </w:rPr>
        <w:t xml:space="preserve"> Словак М.В. – 33,7 тис. грн.</w:t>
      </w:r>
    </w:p>
    <w:p w:rsidR="00AA4361" w:rsidRPr="00EE64DD" w:rsidRDefault="00AA4361" w:rsidP="00AA4361">
      <w:pPr>
        <w:tabs>
          <w:tab w:val="left" w:pos="720"/>
        </w:tabs>
        <w:ind w:firstLine="709"/>
        <w:jc w:val="both"/>
      </w:pPr>
      <w:r w:rsidRPr="00EE64DD">
        <w:rPr>
          <w:lang w:val="uk-UA"/>
        </w:rPr>
        <w:t xml:space="preserve"> </w:t>
      </w:r>
      <w:proofErr w:type="spellStart"/>
      <w:r w:rsidRPr="00EE64DD">
        <w:t>Надходження</w:t>
      </w:r>
      <w:proofErr w:type="spellEnd"/>
      <w:r w:rsidRPr="00EE64DD">
        <w:t xml:space="preserve"> </w:t>
      </w:r>
      <w:proofErr w:type="spellStart"/>
      <w:r w:rsidRPr="00EE64DD">
        <w:t>єдиного</w:t>
      </w:r>
      <w:proofErr w:type="spellEnd"/>
      <w:r w:rsidRPr="00EE64DD">
        <w:t xml:space="preserve"> </w:t>
      </w:r>
      <w:proofErr w:type="spellStart"/>
      <w:r w:rsidRPr="00EE64DD">
        <w:t>податку</w:t>
      </w:r>
      <w:proofErr w:type="spellEnd"/>
      <w:r w:rsidRPr="00EE64DD">
        <w:t xml:space="preserve"> </w:t>
      </w:r>
      <w:proofErr w:type="spellStart"/>
      <w:r w:rsidRPr="00EE64DD">
        <w:t>з</w:t>
      </w:r>
      <w:proofErr w:type="spellEnd"/>
      <w:r w:rsidRPr="00EE64DD">
        <w:t xml:space="preserve"> </w:t>
      </w:r>
      <w:proofErr w:type="spellStart"/>
      <w:r w:rsidRPr="00EE64DD">
        <w:t>юридичних</w:t>
      </w:r>
      <w:proofErr w:type="spellEnd"/>
      <w:r w:rsidRPr="00EE64DD">
        <w:t xml:space="preserve"> </w:t>
      </w:r>
      <w:proofErr w:type="spellStart"/>
      <w:r w:rsidRPr="00EE64DD">
        <w:t>осіб</w:t>
      </w:r>
      <w:proofErr w:type="spellEnd"/>
      <w:r w:rsidRPr="00EE64DD">
        <w:t xml:space="preserve"> </w:t>
      </w:r>
      <w:proofErr w:type="spellStart"/>
      <w:r w:rsidRPr="00EE64DD">
        <w:t>становлять</w:t>
      </w:r>
      <w:proofErr w:type="spellEnd"/>
      <w:r w:rsidRPr="00EE64DD">
        <w:t xml:space="preserve"> </w:t>
      </w:r>
      <w:r w:rsidRPr="00EE64DD">
        <w:rPr>
          <w:lang w:val="uk-UA"/>
        </w:rPr>
        <w:t>285,7</w:t>
      </w:r>
      <w:r w:rsidRPr="00EE64DD">
        <w:t xml:space="preserve"> тис</w:t>
      </w:r>
      <w:proofErr w:type="gramStart"/>
      <w:r w:rsidRPr="00EE64DD">
        <w:t>.</w:t>
      </w:r>
      <w:proofErr w:type="gramEnd"/>
      <w:r w:rsidRPr="00EE64DD">
        <w:t xml:space="preserve"> </w:t>
      </w:r>
      <w:proofErr w:type="spellStart"/>
      <w:proofErr w:type="gramStart"/>
      <w:r w:rsidRPr="00EE64DD">
        <w:t>г</w:t>
      </w:r>
      <w:proofErr w:type="gramEnd"/>
      <w:r w:rsidRPr="00EE64DD">
        <w:t>рн</w:t>
      </w:r>
      <w:proofErr w:type="spellEnd"/>
      <w:r w:rsidRPr="00EE64DD">
        <w:t xml:space="preserve">., </w:t>
      </w:r>
      <w:proofErr w:type="spellStart"/>
      <w:r w:rsidRPr="00EE64DD">
        <w:t>що</w:t>
      </w:r>
      <w:proofErr w:type="spellEnd"/>
      <w:r w:rsidRPr="00EE64DD">
        <w:t xml:space="preserve"> </w:t>
      </w:r>
      <w:proofErr w:type="spellStart"/>
      <w:r w:rsidRPr="00EE64DD">
        <w:t>складає</w:t>
      </w:r>
      <w:proofErr w:type="spellEnd"/>
      <w:r w:rsidRPr="00EE64DD">
        <w:t xml:space="preserve"> </w:t>
      </w:r>
      <w:r w:rsidRPr="00EE64DD">
        <w:rPr>
          <w:lang w:val="uk-UA"/>
        </w:rPr>
        <w:t xml:space="preserve">218,1 </w:t>
      </w:r>
      <w:proofErr w:type="spellStart"/>
      <w:r w:rsidRPr="00EE64DD">
        <w:t>відсотк</w:t>
      </w:r>
      <w:proofErr w:type="spellEnd"/>
      <w:r w:rsidRPr="00EE64DD">
        <w:rPr>
          <w:lang w:val="uk-UA"/>
        </w:rPr>
        <w:t>и</w:t>
      </w:r>
      <w:r w:rsidRPr="00EE64DD">
        <w:t xml:space="preserve"> до </w:t>
      </w:r>
      <w:proofErr w:type="spellStart"/>
      <w:r w:rsidRPr="00EE64DD">
        <w:t>уточненого</w:t>
      </w:r>
      <w:proofErr w:type="spellEnd"/>
      <w:r w:rsidRPr="00EE64DD">
        <w:t xml:space="preserve"> плану на </w:t>
      </w:r>
      <w:proofErr w:type="spellStart"/>
      <w:r w:rsidRPr="00EE64DD">
        <w:t>вказаний</w:t>
      </w:r>
      <w:proofErr w:type="spellEnd"/>
      <w:r w:rsidRPr="00EE64DD">
        <w:t xml:space="preserve"> </w:t>
      </w:r>
      <w:proofErr w:type="spellStart"/>
      <w:r w:rsidRPr="00EE64DD">
        <w:t>період</w:t>
      </w:r>
      <w:proofErr w:type="spellEnd"/>
      <w:r w:rsidRPr="00EE64DD">
        <w:t xml:space="preserve"> (уточнений план за </w:t>
      </w:r>
      <w:proofErr w:type="spellStart"/>
      <w:r w:rsidRPr="00EE64DD">
        <w:t>період</w:t>
      </w:r>
      <w:proofErr w:type="spellEnd"/>
      <w:r w:rsidRPr="00EE64DD">
        <w:t xml:space="preserve"> – </w:t>
      </w:r>
      <w:r w:rsidRPr="00EE64DD">
        <w:rPr>
          <w:lang w:val="uk-UA"/>
        </w:rPr>
        <w:t>131,0</w:t>
      </w:r>
      <w:r w:rsidRPr="00EE64DD">
        <w:t xml:space="preserve"> тис. </w:t>
      </w:r>
      <w:proofErr w:type="spellStart"/>
      <w:r w:rsidRPr="00EE64DD">
        <w:t>грн</w:t>
      </w:r>
      <w:proofErr w:type="spellEnd"/>
      <w:r w:rsidRPr="00EE64DD">
        <w:t xml:space="preserve">.). </w:t>
      </w:r>
      <w:proofErr w:type="spellStart"/>
      <w:r w:rsidRPr="00EE64DD">
        <w:t>Найбільшими</w:t>
      </w:r>
      <w:proofErr w:type="spellEnd"/>
      <w:r w:rsidRPr="00EE64DD">
        <w:t xml:space="preserve"> </w:t>
      </w:r>
      <w:proofErr w:type="spellStart"/>
      <w:r w:rsidRPr="00EE64DD">
        <w:t>платниками</w:t>
      </w:r>
      <w:proofErr w:type="spellEnd"/>
      <w:r w:rsidRPr="00EE64DD">
        <w:t xml:space="preserve"> </w:t>
      </w:r>
      <w:proofErr w:type="spellStart"/>
      <w:r w:rsidRPr="00EE64DD">
        <w:t>податку</w:t>
      </w:r>
      <w:proofErr w:type="spellEnd"/>
      <w:r w:rsidRPr="00EE64DD">
        <w:t xml:space="preserve"> </w:t>
      </w:r>
      <w:proofErr w:type="spellStart"/>
      <w:r w:rsidRPr="00EE64DD">
        <w:t>є</w:t>
      </w:r>
      <w:proofErr w:type="spellEnd"/>
      <w:r w:rsidRPr="00EE64DD">
        <w:t xml:space="preserve"> </w:t>
      </w:r>
      <w:r w:rsidRPr="00EE64DD">
        <w:rPr>
          <w:lang w:val="uk-UA"/>
        </w:rPr>
        <w:t xml:space="preserve">ПП «Сонячні Карпати» - 217,4 </w:t>
      </w:r>
      <w:proofErr w:type="spellStart"/>
      <w:r w:rsidRPr="00EE64DD">
        <w:rPr>
          <w:lang w:val="uk-UA"/>
        </w:rPr>
        <w:t>тис</w:t>
      </w:r>
      <w:proofErr w:type="gramStart"/>
      <w:r w:rsidRPr="00EE64DD">
        <w:rPr>
          <w:lang w:val="uk-UA"/>
        </w:rPr>
        <w:t>.г</w:t>
      </w:r>
      <w:proofErr w:type="gramEnd"/>
      <w:r w:rsidRPr="00EE64DD">
        <w:rPr>
          <w:lang w:val="uk-UA"/>
        </w:rPr>
        <w:t>рн</w:t>
      </w:r>
      <w:proofErr w:type="spellEnd"/>
      <w:r w:rsidRPr="00EE64DD">
        <w:rPr>
          <w:lang w:val="uk-UA"/>
        </w:rPr>
        <w:t>., ПП «Шляховик» - 13,4</w:t>
      </w:r>
      <w:r w:rsidRPr="00EE64DD">
        <w:t xml:space="preserve"> тис. </w:t>
      </w:r>
      <w:proofErr w:type="spellStart"/>
      <w:r w:rsidRPr="00EE64DD">
        <w:t>грн</w:t>
      </w:r>
      <w:proofErr w:type="spellEnd"/>
      <w:r w:rsidRPr="00EE64DD">
        <w:t>.,</w:t>
      </w:r>
      <w:r w:rsidRPr="00EE64DD">
        <w:rPr>
          <w:lang w:val="uk-UA"/>
        </w:rPr>
        <w:t xml:space="preserve"> ПП</w:t>
      </w:r>
      <w:r w:rsidRPr="00EE64DD">
        <w:t xml:space="preserve"> </w:t>
      </w:r>
      <w:proofErr w:type="spellStart"/>
      <w:r w:rsidRPr="00EE64DD">
        <w:t>редакція</w:t>
      </w:r>
      <w:proofErr w:type="spellEnd"/>
      <w:r w:rsidRPr="00EE64DD">
        <w:t xml:space="preserve"> </w:t>
      </w:r>
      <w:proofErr w:type="spellStart"/>
      <w:r w:rsidRPr="00EE64DD">
        <w:t>газети</w:t>
      </w:r>
      <w:proofErr w:type="spellEnd"/>
      <w:r w:rsidRPr="00EE64DD">
        <w:t xml:space="preserve"> “</w:t>
      </w:r>
      <w:r w:rsidRPr="00EE64DD">
        <w:rPr>
          <w:lang w:val="uk-UA"/>
        </w:rPr>
        <w:t xml:space="preserve">Верховинські вісті» опришки – 11,2 тис. грн., ТОВ «Опришки» - 10,3 </w:t>
      </w:r>
      <w:r w:rsidRPr="00EE64DD">
        <w:t xml:space="preserve">тис. </w:t>
      </w:r>
      <w:proofErr w:type="spellStart"/>
      <w:r w:rsidRPr="00EE64DD">
        <w:t>грн</w:t>
      </w:r>
      <w:proofErr w:type="spellEnd"/>
      <w:r w:rsidRPr="00EE64DD">
        <w:t xml:space="preserve">., </w:t>
      </w:r>
      <w:r w:rsidRPr="00EE64DD">
        <w:rPr>
          <w:lang w:val="uk-UA"/>
        </w:rPr>
        <w:t>ТОВ «</w:t>
      </w:r>
      <w:proofErr w:type="spellStart"/>
      <w:r w:rsidRPr="00EE64DD">
        <w:rPr>
          <w:lang w:val="uk-UA"/>
        </w:rPr>
        <w:t>Шруба</w:t>
      </w:r>
      <w:proofErr w:type="spellEnd"/>
      <w:r w:rsidRPr="00EE64DD">
        <w:rPr>
          <w:lang w:val="uk-UA"/>
        </w:rPr>
        <w:t>» - 7,2 тис. грн.</w:t>
      </w:r>
    </w:p>
    <w:p w:rsidR="00AA4361" w:rsidRPr="00EE64DD" w:rsidRDefault="00AA4361" w:rsidP="00AA4361">
      <w:pPr>
        <w:ind w:firstLine="709"/>
        <w:jc w:val="both"/>
        <w:rPr>
          <w:lang w:val="uk-UA"/>
        </w:rPr>
      </w:pPr>
      <w:proofErr w:type="spellStart"/>
      <w:r w:rsidRPr="00EE64DD">
        <w:t>Надходження</w:t>
      </w:r>
      <w:proofErr w:type="spellEnd"/>
      <w:r w:rsidRPr="00EE64DD">
        <w:t xml:space="preserve"> </w:t>
      </w:r>
      <w:proofErr w:type="spellStart"/>
      <w:r w:rsidRPr="00EE64DD">
        <w:t>єдиного</w:t>
      </w:r>
      <w:proofErr w:type="spellEnd"/>
      <w:r w:rsidRPr="00EE64DD">
        <w:t xml:space="preserve"> </w:t>
      </w:r>
      <w:proofErr w:type="spellStart"/>
      <w:r w:rsidRPr="00EE64DD">
        <w:t>податку</w:t>
      </w:r>
      <w:proofErr w:type="spellEnd"/>
      <w:r w:rsidRPr="00EE64DD">
        <w:t xml:space="preserve"> </w:t>
      </w:r>
      <w:proofErr w:type="spellStart"/>
      <w:r w:rsidRPr="00EE64DD">
        <w:t>з</w:t>
      </w:r>
      <w:proofErr w:type="spellEnd"/>
      <w:r w:rsidRPr="00EE64DD">
        <w:t xml:space="preserve"> </w:t>
      </w:r>
      <w:proofErr w:type="spellStart"/>
      <w:r w:rsidRPr="00EE64DD">
        <w:t>сільськогосподарських</w:t>
      </w:r>
      <w:proofErr w:type="spellEnd"/>
      <w:r w:rsidRPr="00EE64DD">
        <w:t xml:space="preserve"> </w:t>
      </w:r>
      <w:proofErr w:type="spellStart"/>
      <w:r w:rsidRPr="00EE64DD">
        <w:t>товаровиробників</w:t>
      </w:r>
      <w:proofErr w:type="spellEnd"/>
      <w:r w:rsidRPr="00EE64DD">
        <w:t xml:space="preserve">, у </w:t>
      </w:r>
      <w:proofErr w:type="spellStart"/>
      <w:r w:rsidRPr="00EE64DD">
        <w:t>яких</w:t>
      </w:r>
      <w:proofErr w:type="spellEnd"/>
      <w:r w:rsidRPr="00EE64DD">
        <w:t xml:space="preserve"> </w:t>
      </w:r>
      <w:proofErr w:type="spellStart"/>
      <w:r w:rsidRPr="00EE64DD">
        <w:t>частка</w:t>
      </w:r>
      <w:proofErr w:type="spellEnd"/>
      <w:r w:rsidRPr="00EE64DD">
        <w:t xml:space="preserve"> </w:t>
      </w:r>
      <w:proofErr w:type="spellStart"/>
      <w:r w:rsidRPr="00EE64DD">
        <w:t>сільськогосподарського</w:t>
      </w:r>
      <w:proofErr w:type="spellEnd"/>
      <w:r w:rsidRPr="00EE64DD">
        <w:t xml:space="preserve"> </w:t>
      </w:r>
      <w:proofErr w:type="spellStart"/>
      <w:r w:rsidRPr="00EE64DD">
        <w:t>товаровиробництва</w:t>
      </w:r>
      <w:proofErr w:type="spellEnd"/>
      <w:r w:rsidRPr="00EE64DD">
        <w:t xml:space="preserve"> за </w:t>
      </w:r>
      <w:proofErr w:type="spellStart"/>
      <w:r w:rsidRPr="00EE64DD">
        <w:t>попередній</w:t>
      </w:r>
      <w:proofErr w:type="spellEnd"/>
      <w:r w:rsidRPr="00EE64DD">
        <w:t xml:space="preserve"> </w:t>
      </w:r>
      <w:proofErr w:type="spellStart"/>
      <w:r w:rsidRPr="00EE64DD">
        <w:t>податковий</w:t>
      </w:r>
      <w:proofErr w:type="spellEnd"/>
      <w:r w:rsidRPr="00EE64DD">
        <w:t xml:space="preserve"> (</w:t>
      </w:r>
      <w:proofErr w:type="spellStart"/>
      <w:r w:rsidRPr="00EE64DD">
        <w:t>звітний</w:t>
      </w:r>
      <w:proofErr w:type="spellEnd"/>
      <w:r w:rsidRPr="00EE64DD">
        <w:t xml:space="preserve">) </w:t>
      </w:r>
      <w:proofErr w:type="spellStart"/>
      <w:proofErr w:type="gramStart"/>
      <w:r w:rsidRPr="00EE64DD">
        <w:t>р</w:t>
      </w:r>
      <w:proofErr w:type="gramEnd"/>
      <w:r w:rsidRPr="00EE64DD">
        <w:t>ік</w:t>
      </w:r>
      <w:proofErr w:type="spellEnd"/>
      <w:r w:rsidRPr="00EE64DD">
        <w:t xml:space="preserve"> </w:t>
      </w:r>
      <w:proofErr w:type="spellStart"/>
      <w:r w:rsidRPr="00EE64DD">
        <w:t>дорівнює</w:t>
      </w:r>
      <w:proofErr w:type="spellEnd"/>
      <w:r w:rsidRPr="00EE64DD">
        <w:t xml:space="preserve"> </w:t>
      </w:r>
      <w:proofErr w:type="spellStart"/>
      <w:r w:rsidRPr="00EE64DD">
        <w:t>або</w:t>
      </w:r>
      <w:proofErr w:type="spellEnd"/>
      <w:r w:rsidRPr="00EE64DD">
        <w:t xml:space="preserve"> </w:t>
      </w:r>
      <w:proofErr w:type="spellStart"/>
      <w:r w:rsidRPr="00EE64DD">
        <w:t>перевищує</w:t>
      </w:r>
      <w:proofErr w:type="spellEnd"/>
      <w:r w:rsidRPr="00EE64DD">
        <w:t xml:space="preserve"> 75 </w:t>
      </w:r>
      <w:proofErr w:type="spellStart"/>
      <w:r w:rsidRPr="00EE64DD">
        <w:t>відсотк</w:t>
      </w:r>
      <w:proofErr w:type="spellEnd"/>
      <w:r w:rsidRPr="00EE64DD">
        <w:rPr>
          <w:lang w:val="uk-UA"/>
        </w:rPr>
        <w:t>и</w:t>
      </w:r>
      <w:r w:rsidRPr="00EE64DD">
        <w:t xml:space="preserve"> </w:t>
      </w:r>
      <w:proofErr w:type="spellStart"/>
      <w:r w:rsidRPr="00EE64DD">
        <w:t>надійшло</w:t>
      </w:r>
      <w:proofErr w:type="spellEnd"/>
      <w:r w:rsidRPr="00EE64DD">
        <w:t xml:space="preserve"> в </w:t>
      </w:r>
      <w:proofErr w:type="spellStart"/>
      <w:r w:rsidRPr="00EE64DD">
        <w:t>сумі</w:t>
      </w:r>
      <w:proofErr w:type="spellEnd"/>
      <w:r w:rsidRPr="00EE64DD">
        <w:t xml:space="preserve"> </w:t>
      </w:r>
      <w:r w:rsidRPr="00EE64DD">
        <w:rPr>
          <w:lang w:val="uk-UA"/>
        </w:rPr>
        <w:t>11,9</w:t>
      </w:r>
      <w:r w:rsidRPr="00EE64DD">
        <w:t xml:space="preserve"> тис. </w:t>
      </w:r>
      <w:proofErr w:type="spellStart"/>
      <w:r w:rsidRPr="00EE64DD">
        <w:t>грн</w:t>
      </w:r>
      <w:proofErr w:type="spellEnd"/>
      <w:r w:rsidRPr="00EE64DD">
        <w:t xml:space="preserve">., </w:t>
      </w:r>
      <w:proofErr w:type="spellStart"/>
      <w:r w:rsidRPr="00EE64DD">
        <w:t>що</w:t>
      </w:r>
      <w:proofErr w:type="spellEnd"/>
      <w:r w:rsidRPr="00EE64DD">
        <w:t xml:space="preserve"> на </w:t>
      </w:r>
      <w:r w:rsidRPr="00EE64DD">
        <w:rPr>
          <w:lang w:val="uk-UA"/>
        </w:rPr>
        <w:t>10,7</w:t>
      </w:r>
      <w:r w:rsidRPr="00EE64DD">
        <w:t xml:space="preserve"> тис. </w:t>
      </w:r>
      <w:proofErr w:type="spellStart"/>
      <w:r w:rsidRPr="00EE64DD">
        <w:t>грн</w:t>
      </w:r>
      <w:proofErr w:type="spellEnd"/>
      <w:r w:rsidRPr="00EE64DD">
        <w:t xml:space="preserve"> </w:t>
      </w:r>
      <w:proofErr w:type="spellStart"/>
      <w:r w:rsidRPr="00EE64DD">
        <w:t>більше</w:t>
      </w:r>
      <w:proofErr w:type="spellEnd"/>
      <w:r w:rsidRPr="00EE64DD">
        <w:t xml:space="preserve"> </w:t>
      </w:r>
      <w:proofErr w:type="spellStart"/>
      <w:r w:rsidRPr="00EE64DD">
        <w:t>аналогічного</w:t>
      </w:r>
      <w:proofErr w:type="spellEnd"/>
      <w:r w:rsidRPr="00EE64DD">
        <w:t xml:space="preserve"> </w:t>
      </w:r>
      <w:proofErr w:type="spellStart"/>
      <w:r w:rsidRPr="00EE64DD">
        <w:t>періоду</w:t>
      </w:r>
      <w:proofErr w:type="spellEnd"/>
      <w:r w:rsidRPr="00EE64DD">
        <w:t xml:space="preserve"> </w:t>
      </w:r>
      <w:proofErr w:type="spellStart"/>
      <w:r w:rsidRPr="00EE64DD">
        <w:t>минулого</w:t>
      </w:r>
      <w:proofErr w:type="spellEnd"/>
      <w:r w:rsidRPr="00EE64DD">
        <w:t xml:space="preserve"> року.</w:t>
      </w:r>
      <w:r w:rsidRPr="00EE64DD">
        <w:rPr>
          <w:color w:val="FF0000"/>
        </w:rPr>
        <w:t xml:space="preserve"> </w:t>
      </w:r>
      <w:r w:rsidRPr="00EE64DD">
        <w:rPr>
          <w:lang w:val="uk-UA"/>
        </w:rPr>
        <w:t>Найбільшими п</w:t>
      </w:r>
      <w:r w:rsidRPr="00EE64DD">
        <w:t>латник</w:t>
      </w:r>
      <w:proofErr w:type="spellStart"/>
      <w:r w:rsidRPr="00EE64DD">
        <w:rPr>
          <w:lang w:val="uk-UA"/>
        </w:rPr>
        <w:t>ами</w:t>
      </w:r>
      <w:proofErr w:type="spellEnd"/>
      <w:r w:rsidRPr="00EE64DD">
        <w:t xml:space="preserve"> </w:t>
      </w:r>
      <w:proofErr w:type="spellStart"/>
      <w:r w:rsidRPr="00EE64DD">
        <w:t>єдиного</w:t>
      </w:r>
      <w:proofErr w:type="spellEnd"/>
      <w:r w:rsidRPr="00EE64DD">
        <w:t xml:space="preserve"> </w:t>
      </w:r>
      <w:proofErr w:type="spellStart"/>
      <w:r w:rsidRPr="00EE64DD">
        <w:t>податку</w:t>
      </w:r>
      <w:proofErr w:type="spellEnd"/>
      <w:r w:rsidRPr="00EE64DD">
        <w:t xml:space="preserve"> </w:t>
      </w:r>
      <w:proofErr w:type="spellStart"/>
      <w:r w:rsidRPr="00EE64DD">
        <w:t>з</w:t>
      </w:r>
      <w:proofErr w:type="spellEnd"/>
      <w:r w:rsidRPr="00EE64DD">
        <w:t xml:space="preserve"> </w:t>
      </w:r>
      <w:proofErr w:type="spellStart"/>
      <w:r w:rsidRPr="00EE64DD">
        <w:t>сільськогосподарських</w:t>
      </w:r>
      <w:proofErr w:type="spellEnd"/>
      <w:r w:rsidRPr="00EE64DD">
        <w:t xml:space="preserve"> </w:t>
      </w:r>
      <w:proofErr w:type="spellStart"/>
      <w:r w:rsidRPr="00EE64DD">
        <w:t>товаровиробників</w:t>
      </w:r>
      <w:proofErr w:type="spellEnd"/>
      <w:r w:rsidRPr="00EE64DD">
        <w:t xml:space="preserve"> </w:t>
      </w:r>
      <w:proofErr w:type="spellStart"/>
      <w:r w:rsidRPr="00EE64DD">
        <w:t>є</w:t>
      </w:r>
      <w:proofErr w:type="spellEnd"/>
      <w:r w:rsidRPr="00EE64DD">
        <w:t xml:space="preserve"> </w:t>
      </w:r>
      <w:r w:rsidRPr="00EE64DD">
        <w:rPr>
          <w:lang w:val="uk-UA"/>
        </w:rPr>
        <w:t>ФГ «Бубки»</w:t>
      </w:r>
      <w:r w:rsidRPr="00EE64DD">
        <w:t xml:space="preserve"> </w:t>
      </w:r>
      <w:r w:rsidRPr="00EE64DD">
        <w:rPr>
          <w:lang w:val="uk-UA"/>
        </w:rPr>
        <w:t>- 4,2</w:t>
      </w:r>
      <w:r w:rsidRPr="00EE64DD">
        <w:t xml:space="preserve"> тис. </w:t>
      </w:r>
      <w:proofErr w:type="spellStart"/>
      <w:r w:rsidRPr="00EE64DD">
        <w:t>грн</w:t>
      </w:r>
      <w:proofErr w:type="spellEnd"/>
      <w:r w:rsidRPr="00EE64DD">
        <w:t xml:space="preserve">.  </w:t>
      </w:r>
      <w:r w:rsidRPr="00EE64DD">
        <w:rPr>
          <w:lang w:val="uk-UA"/>
        </w:rPr>
        <w:t xml:space="preserve">ФГ </w:t>
      </w:r>
      <w:proofErr w:type="spellStart"/>
      <w:r w:rsidRPr="00EE64DD">
        <w:rPr>
          <w:lang w:val="uk-UA"/>
        </w:rPr>
        <w:t>Шекеряка</w:t>
      </w:r>
      <w:proofErr w:type="spellEnd"/>
      <w:r w:rsidRPr="00EE64DD">
        <w:rPr>
          <w:lang w:val="uk-UA"/>
        </w:rPr>
        <w:t xml:space="preserve"> В.</w:t>
      </w:r>
      <w:r w:rsidRPr="00EE64DD">
        <w:t xml:space="preserve"> </w:t>
      </w:r>
      <w:r w:rsidRPr="00EE64DD">
        <w:rPr>
          <w:lang w:val="uk-UA"/>
        </w:rPr>
        <w:t>– 1,8</w:t>
      </w:r>
      <w:r w:rsidRPr="00EE64DD">
        <w:t xml:space="preserve"> тис</w:t>
      </w:r>
      <w:proofErr w:type="gramStart"/>
      <w:r w:rsidRPr="00EE64DD">
        <w:t>.</w:t>
      </w:r>
      <w:proofErr w:type="gramEnd"/>
      <w:r w:rsidRPr="00EE64DD">
        <w:t xml:space="preserve"> </w:t>
      </w:r>
      <w:proofErr w:type="spellStart"/>
      <w:proofErr w:type="gramStart"/>
      <w:r w:rsidRPr="00EE64DD">
        <w:t>г</w:t>
      </w:r>
      <w:proofErr w:type="gramEnd"/>
      <w:r w:rsidRPr="00EE64DD">
        <w:t>рн</w:t>
      </w:r>
      <w:proofErr w:type="spellEnd"/>
      <w:r w:rsidRPr="00EE64DD">
        <w:t>.</w:t>
      </w:r>
      <w:r w:rsidRPr="00EE64DD">
        <w:rPr>
          <w:lang w:val="uk-UA"/>
        </w:rPr>
        <w:t xml:space="preserve">, ФГ </w:t>
      </w:r>
      <w:proofErr w:type="spellStart"/>
      <w:r w:rsidRPr="00EE64DD">
        <w:rPr>
          <w:lang w:val="uk-UA"/>
        </w:rPr>
        <w:t>Гараджук</w:t>
      </w:r>
      <w:proofErr w:type="spellEnd"/>
      <w:r w:rsidRPr="00EE64DD">
        <w:rPr>
          <w:lang w:val="uk-UA"/>
        </w:rPr>
        <w:t xml:space="preserve"> П.В.</w:t>
      </w:r>
      <w:r w:rsidRPr="00EE64DD">
        <w:t xml:space="preserve"> </w:t>
      </w:r>
      <w:r w:rsidRPr="00EE64DD">
        <w:rPr>
          <w:lang w:val="uk-UA"/>
        </w:rPr>
        <w:t>– 1,4</w:t>
      </w:r>
      <w:r w:rsidRPr="00EE64DD">
        <w:t xml:space="preserve"> тис. </w:t>
      </w:r>
      <w:proofErr w:type="spellStart"/>
      <w:r w:rsidRPr="00EE64DD">
        <w:t>грн</w:t>
      </w:r>
      <w:proofErr w:type="spellEnd"/>
      <w:r w:rsidRPr="00EE64DD">
        <w:t>.</w:t>
      </w:r>
      <w:r w:rsidRPr="00EE64DD">
        <w:rPr>
          <w:lang w:val="uk-UA"/>
        </w:rPr>
        <w:t xml:space="preserve">, СФГ </w:t>
      </w:r>
      <w:proofErr w:type="spellStart"/>
      <w:r w:rsidRPr="00EE64DD">
        <w:rPr>
          <w:lang w:val="uk-UA"/>
        </w:rPr>
        <w:t>Процюка</w:t>
      </w:r>
      <w:proofErr w:type="spellEnd"/>
      <w:r w:rsidRPr="00EE64DD">
        <w:rPr>
          <w:lang w:val="uk-UA"/>
        </w:rPr>
        <w:t xml:space="preserve"> М.І.</w:t>
      </w:r>
      <w:r w:rsidRPr="00EE64DD">
        <w:t xml:space="preserve"> </w:t>
      </w:r>
      <w:r w:rsidRPr="00EE64DD">
        <w:rPr>
          <w:lang w:val="uk-UA"/>
        </w:rPr>
        <w:t>– 1,1</w:t>
      </w:r>
      <w:r w:rsidRPr="00EE64DD">
        <w:t xml:space="preserve"> тис. </w:t>
      </w:r>
      <w:proofErr w:type="spellStart"/>
      <w:r w:rsidRPr="00EE64DD">
        <w:t>грн</w:t>
      </w:r>
      <w:proofErr w:type="spellEnd"/>
      <w:r w:rsidRPr="00EE64DD">
        <w:t xml:space="preserve">. </w:t>
      </w:r>
      <w:r w:rsidRPr="00EE64DD">
        <w:rPr>
          <w:lang w:val="uk-UA"/>
        </w:rPr>
        <w:t xml:space="preserve">та ФГ </w:t>
      </w:r>
      <w:proofErr w:type="spellStart"/>
      <w:r w:rsidRPr="00EE64DD">
        <w:rPr>
          <w:lang w:val="uk-UA"/>
        </w:rPr>
        <w:t>Стринадюка</w:t>
      </w:r>
      <w:proofErr w:type="spellEnd"/>
      <w:r w:rsidRPr="00EE64DD">
        <w:t xml:space="preserve"> </w:t>
      </w:r>
      <w:r w:rsidRPr="00EE64DD">
        <w:rPr>
          <w:lang w:val="uk-UA"/>
        </w:rPr>
        <w:t>– 0,9</w:t>
      </w:r>
      <w:r w:rsidRPr="00EE64DD">
        <w:t xml:space="preserve"> тис. </w:t>
      </w:r>
      <w:proofErr w:type="spellStart"/>
      <w:r w:rsidRPr="00EE64DD">
        <w:t>грн</w:t>
      </w:r>
      <w:proofErr w:type="spellEnd"/>
      <w:r w:rsidRPr="00EE64DD">
        <w:t xml:space="preserve">.  </w:t>
      </w:r>
    </w:p>
    <w:p w:rsidR="00AA4361" w:rsidRPr="00EE64DD" w:rsidRDefault="00AA4361" w:rsidP="00AA4361">
      <w:pPr>
        <w:ind w:firstLine="709"/>
        <w:jc w:val="both"/>
        <w:rPr>
          <w:lang w:val="uk-UA"/>
        </w:rPr>
      </w:pPr>
    </w:p>
    <w:p w:rsidR="00AA4361" w:rsidRPr="00EE64DD" w:rsidRDefault="00AA4361" w:rsidP="00AA4361">
      <w:pPr>
        <w:ind w:firstLine="709"/>
        <w:jc w:val="both"/>
        <w:rPr>
          <w:lang w:val="uk-UA"/>
        </w:rPr>
      </w:pPr>
      <w:r w:rsidRPr="00EE64DD">
        <w:rPr>
          <w:b/>
          <w:lang w:val="uk-UA"/>
        </w:rPr>
        <w:t>Податку на майно</w:t>
      </w:r>
      <w:r w:rsidRPr="00EE64DD">
        <w:rPr>
          <w:lang w:val="uk-UA"/>
        </w:rPr>
        <w:t>, який включає податок на нерухоме майно, відмінне від земельної ділянки  та плату за землю надійшло 1357,6 тис. грн., що складає 196,4 відсотки до уточненого плану (691,3 тис. грн.) та приріст складає 666,3 тис. грн. Порівняно з відповідним періодом 2022 року спостерігається збільшення надходжень в сумі 739,4 тис. грн.</w:t>
      </w:r>
    </w:p>
    <w:p w:rsidR="00AA4361" w:rsidRDefault="00AA4361" w:rsidP="00AA4361">
      <w:pPr>
        <w:rPr>
          <w:lang w:val="uk-UA"/>
        </w:rPr>
      </w:pPr>
    </w:p>
    <w:p w:rsidR="00AA4361" w:rsidRPr="00EE64DD" w:rsidRDefault="00AA4361" w:rsidP="00AA4361">
      <w:pPr>
        <w:jc w:val="center"/>
        <w:rPr>
          <w:b/>
          <w:lang w:val="uk-UA"/>
        </w:rPr>
      </w:pPr>
      <w:r w:rsidRPr="00EE64DD">
        <w:rPr>
          <w:b/>
          <w:lang w:val="uk-UA"/>
        </w:rPr>
        <w:t>Порівняльний аналіз надходжень податку на майно за</w:t>
      </w:r>
    </w:p>
    <w:p w:rsidR="00AA4361" w:rsidRPr="00EE64DD" w:rsidRDefault="00AA4361" w:rsidP="00AA4361">
      <w:pPr>
        <w:ind w:firstLine="709"/>
        <w:jc w:val="center"/>
        <w:rPr>
          <w:b/>
          <w:lang w:val="uk-UA"/>
        </w:rPr>
      </w:pPr>
      <w:r w:rsidRPr="00EE64DD">
        <w:rPr>
          <w:b/>
          <w:lang w:val="uk-UA"/>
        </w:rPr>
        <w:t>І квартал 2022-2023 років</w:t>
      </w:r>
    </w:p>
    <w:p w:rsidR="00AA4361" w:rsidRPr="00EE64DD" w:rsidRDefault="00AA4361" w:rsidP="00AA4361">
      <w:pPr>
        <w:ind w:firstLine="709"/>
        <w:jc w:val="both"/>
        <w:rPr>
          <w:lang w:val="uk-UA"/>
        </w:rPr>
      </w:pPr>
      <w:r w:rsidRPr="00EE64DD">
        <w:rPr>
          <w:lang w:val="uk-UA"/>
        </w:rPr>
        <w:t xml:space="preserve">                                                                                                              </w:t>
      </w:r>
      <w:proofErr w:type="spellStart"/>
      <w:r w:rsidRPr="00EE64DD">
        <w:rPr>
          <w:lang w:val="uk-UA"/>
        </w:rPr>
        <w:t>тис.грн</w:t>
      </w:r>
      <w:proofErr w:type="spellEnd"/>
      <w:r w:rsidRPr="00EE64DD">
        <w:rPr>
          <w:lang w:val="uk-UA"/>
        </w:rPr>
        <w:t>.</w:t>
      </w:r>
    </w:p>
    <w:p w:rsidR="00AA4361" w:rsidRPr="00EE64DD" w:rsidRDefault="00AA4361" w:rsidP="00AA4361">
      <w:pPr>
        <w:jc w:val="both"/>
        <w:rPr>
          <w:lang w:val="uk-UA"/>
        </w:rPr>
      </w:pPr>
      <w:r w:rsidRPr="00EE64DD">
        <w:rPr>
          <w:noProof/>
          <w:lang w:val="uk-UA" w:eastAsia="uk-UA"/>
        </w:rPr>
        <w:drawing>
          <wp:inline distT="0" distB="0" distL="0" distR="0">
            <wp:extent cx="6122670" cy="4055110"/>
            <wp:effectExtent l="0" t="0" r="0" b="0"/>
            <wp:docPr id="7"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A4361" w:rsidRPr="00EE64DD" w:rsidRDefault="00AA4361" w:rsidP="00AA4361">
      <w:pPr>
        <w:spacing w:before="120"/>
        <w:ind w:firstLine="708"/>
        <w:jc w:val="both"/>
        <w:rPr>
          <w:lang w:val="uk-UA"/>
        </w:rPr>
      </w:pPr>
      <w:r w:rsidRPr="00EE64DD">
        <w:rPr>
          <w:lang w:val="uk-UA"/>
        </w:rPr>
        <w:t xml:space="preserve">На збільшення надходжень </w:t>
      </w:r>
      <w:proofErr w:type="spellStart"/>
      <w:r w:rsidRPr="00EE64DD">
        <w:t>податку</w:t>
      </w:r>
      <w:proofErr w:type="spellEnd"/>
      <w:r w:rsidRPr="00EE64DD">
        <w:t xml:space="preserve"> на </w:t>
      </w:r>
      <w:proofErr w:type="spellStart"/>
      <w:r w:rsidRPr="00EE64DD">
        <w:t>майно</w:t>
      </w:r>
      <w:proofErr w:type="spellEnd"/>
      <w:r w:rsidRPr="00EE64DD">
        <w:rPr>
          <w:lang w:val="uk-UA"/>
        </w:rPr>
        <w:t xml:space="preserve"> вплинула  велика частина поступлень даного податку у звітному кварталі за 2022 рік у зв’язку  нарахування та подання повідомлення-рішень органом Державної податкової служби  у кінці жовтня 2022 року.</w:t>
      </w:r>
    </w:p>
    <w:p w:rsidR="00AA4361" w:rsidRPr="00EE64DD" w:rsidRDefault="00AA4361" w:rsidP="00AA4361">
      <w:pPr>
        <w:pStyle w:val="a8"/>
        <w:spacing w:after="0" w:line="240" w:lineRule="auto"/>
        <w:ind w:left="0" w:firstLine="709"/>
        <w:jc w:val="both"/>
        <w:rPr>
          <w:rFonts w:ascii="Times New Roman" w:hAnsi="Times New Roman"/>
          <w:sz w:val="24"/>
          <w:szCs w:val="24"/>
        </w:rPr>
      </w:pPr>
      <w:r w:rsidRPr="00EE64DD">
        <w:rPr>
          <w:rFonts w:ascii="Times New Roman" w:hAnsi="Times New Roman"/>
          <w:sz w:val="24"/>
          <w:szCs w:val="24"/>
        </w:rPr>
        <w:t>Також, внаслідок проведеної роботи із боржниками по податку на майно сплачено частину податкового боргу, який склався станом на 01.01.2023 року.</w:t>
      </w:r>
      <w:r w:rsidRPr="00EE64DD">
        <w:rPr>
          <w:rFonts w:ascii="Times New Roman" w:hAnsi="Times New Roman"/>
          <w:color w:val="FF0000"/>
          <w:sz w:val="24"/>
          <w:szCs w:val="24"/>
        </w:rPr>
        <w:t xml:space="preserve"> </w:t>
      </w:r>
      <w:r w:rsidRPr="00EE64DD">
        <w:rPr>
          <w:rFonts w:ascii="Times New Roman" w:hAnsi="Times New Roman"/>
          <w:sz w:val="24"/>
          <w:szCs w:val="24"/>
        </w:rPr>
        <w:t xml:space="preserve">Верховинським районним лісгоспом погашено борг у сумі 219,0 тис. грн. (200,0 </w:t>
      </w:r>
      <w:proofErr w:type="spellStart"/>
      <w:r w:rsidRPr="00EE64DD">
        <w:rPr>
          <w:rFonts w:ascii="Times New Roman" w:hAnsi="Times New Roman"/>
          <w:sz w:val="24"/>
          <w:szCs w:val="24"/>
        </w:rPr>
        <w:t>тис.грн</w:t>
      </w:r>
      <w:proofErr w:type="spellEnd"/>
      <w:r w:rsidRPr="00EE64DD">
        <w:rPr>
          <w:rFonts w:ascii="Times New Roman" w:hAnsi="Times New Roman"/>
          <w:sz w:val="24"/>
          <w:szCs w:val="24"/>
        </w:rPr>
        <w:t xml:space="preserve">. – земельного податку з юридичних осіб та 19,0 </w:t>
      </w:r>
      <w:proofErr w:type="spellStart"/>
      <w:r w:rsidRPr="00EE64DD">
        <w:rPr>
          <w:rFonts w:ascii="Times New Roman" w:hAnsi="Times New Roman"/>
          <w:sz w:val="24"/>
          <w:szCs w:val="24"/>
        </w:rPr>
        <w:t>тис.грн</w:t>
      </w:r>
      <w:proofErr w:type="spellEnd"/>
      <w:r w:rsidRPr="00EE64DD">
        <w:rPr>
          <w:rFonts w:ascii="Times New Roman" w:hAnsi="Times New Roman"/>
          <w:sz w:val="24"/>
          <w:szCs w:val="24"/>
        </w:rPr>
        <w:t xml:space="preserve"> – податку на майно відмінного від земельної </w:t>
      </w:r>
      <w:r w:rsidRPr="00EE64DD">
        <w:rPr>
          <w:rFonts w:ascii="Times New Roman" w:hAnsi="Times New Roman"/>
          <w:sz w:val="24"/>
          <w:szCs w:val="24"/>
        </w:rPr>
        <w:lastRenderedPageBreak/>
        <w:t>ділянки з юридичних осіб), Спільного українсько-чеським підприємством «Крона» 60 тис. грн. – орендної плати за землю з юридичних осіб , ПП «</w:t>
      </w:r>
      <w:proofErr w:type="spellStart"/>
      <w:r w:rsidRPr="00EE64DD">
        <w:rPr>
          <w:rFonts w:ascii="Times New Roman" w:hAnsi="Times New Roman"/>
          <w:sz w:val="24"/>
          <w:szCs w:val="24"/>
        </w:rPr>
        <w:t>Буркут</w:t>
      </w:r>
      <w:proofErr w:type="spellEnd"/>
      <w:r w:rsidRPr="00EE64DD">
        <w:rPr>
          <w:rFonts w:ascii="Times New Roman" w:hAnsi="Times New Roman"/>
          <w:sz w:val="24"/>
          <w:szCs w:val="24"/>
        </w:rPr>
        <w:t xml:space="preserve"> і К» - 9,2 тис. грн. земельного податку з юридичних осіб та </w:t>
      </w:r>
      <w:proofErr w:type="spellStart"/>
      <w:r w:rsidRPr="00EE64DD">
        <w:rPr>
          <w:rFonts w:ascii="Times New Roman" w:hAnsi="Times New Roman"/>
          <w:sz w:val="24"/>
          <w:szCs w:val="24"/>
        </w:rPr>
        <w:t>ТзОВ</w:t>
      </w:r>
      <w:proofErr w:type="spellEnd"/>
      <w:r w:rsidRPr="00EE64DD">
        <w:rPr>
          <w:rFonts w:ascii="Times New Roman" w:hAnsi="Times New Roman"/>
          <w:sz w:val="24"/>
          <w:szCs w:val="24"/>
        </w:rPr>
        <w:t xml:space="preserve"> Верховинським районним комбінатом сільського комунального </w:t>
      </w:r>
      <w:proofErr w:type="spellStart"/>
      <w:r w:rsidRPr="00EE64DD">
        <w:rPr>
          <w:rFonts w:ascii="Times New Roman" w:hAnsi="Times New Roman"/>
          <w:sz w:val="24"/>
          <w:szCs w:val="24"/>
        </w:rPr>
        <w:t>господарства–</w:t>
      </w:r>
      <w:proofErr w:type="spellEnd"/>
      <w:r w:rsidRPr="00EE64DD">
        <w:rPr>
          <w:rFonts w:ascii="Times New Roman" w:hAnsi="Times New Roman"/>
          <w:sz w:val="24"/>
          <w:szCs w:val="24"/>
        </w:rPr>
        <w:t xml:space="preserve"> 6,5 тис. грн. орендної плати за землю з юридичних осіб.</w:t>
      </w:r>
    </w:p>
    <w:p w:rsidR="00AA4361" w:rsidRPr="00EE64DD" w:rsidRDefault="00AA4361" w:rsidP="00AA4361">
      <w:pPr>
        <w:spacing w:before="120"/>
        <w:ind w:firstLine="708"/>
        <w:jc w:val="both"/>
        <w:rPr>
          <w:lang w:val="uk-UA"/>
        </w:rPr>
      </w:pPr>
      <w:r w:rsidRPr="00EE64DD">
        <w:rPr>
          <w:lang w:val="uk-UA"/>
        </w:rPr>
        <w:t xml:space="preserve"> </w:t>
      </w:r>
      <w:proofErr w:type="spellStart"/>
      <w:r w:rsidRPr="00EE64DD">
        <w:t>Надходження</w:t>
      </w:r>
      <w:proofErr w:type="spellEnd"/>
      <w:r w:rsidRPr="00EE64DD">
        <w:t xml:space="preserve"> </w:t>
      </w:r>
      <w:r w:rsidRPr="00EE64DD">
        <w:rPr>
          <w:b/>
          <w:lang w:val="uk-UA"/>
        </w:rPr>
        <w:t>туристичного збору</w:t>
      </w:r>
      <w:r w:rsidRPr="00EE64DD">
        <w:t xml:space="preserve"> </w:t>
      </w:r>
      <w:proofErr w:type="spellStart"/>
      <w:r w:rsidRPr="00EE64DD">
        <w:t>становлять</w:t>
      </w:r>
      <w:proofErr w:type="spellEnd"/>
      <w:r w:rsidRPr="00EE64DD">
        <w:t xml:space="preserve"> </w:t>
      </w:r>
      <w:r w:rsidRPr="00EE64DD">
        <w:rPr>
          <w:lang w:val="uk-UA"/>
        </w:rPr>
        <w:t>53,1</w:t>
      </w:r>
      <w:r w:rsidRPr="00EE64DD">
        <w:t xml:space="preserve"> тис</w:t>
      </w:r>
      <w:proofErr w:type="gramStart"/>
      <w:r w:rsidRPr="00EE64DD">
        <w:t>.</w:t>
      </w:r>
      <w:proofErr w:type="gramEnd"/>
      <w:r w:rsidRPr="00EE64DD">
        <w:t xml:space="preserve"> </w:t>
      </w:r>
      <w:proofErr w:type="spellStart"/>
      <w:proofErr w:type="gramStart"/>
      <w:r w:rsidRPr="00EE64DD">
        <w:t>г</w:t>
      </w:r>
      <w:proofErr w:type="gramEnd"/>
      <w:r w:rsidRPr="00EE64DD">
        <w:t>рн</w:t>
      </w:r>
      <w:proofErr w:type="spellEnd"/>
      <w:r w:rsidRPr="00EE64DD">
        <w:t xml:space="preserve">., </w:t>
      </w:r>
      <w:proofErr w:type="spellStart"/>
      <w:r w:rsidRPr="00EE64DD">
        <w:t>що</w:t>
      </w:r>
      <w:proofErr w:type="spellEnd"/>
      <w:r w:rsidRPr="00EE64DD">
        <w:t xml:space="preserve"> </w:t>
      </w:r>
      <w:proofErr w:type="spellStart"/>
      <w:r w:rsidRPr="00EE64DD">
        <w:t>складає</w:t>
      </w:r>
      <w:proofErr w:type="spellEnd"/>
      <w:r w:rsidRPr="00EE64DD">
        <w:t xml:space="preserve"> </w:t>
      </w:r>
      <w:r w:rsidRPr="00EE64DD">
        <w:rPr>
          <w:lang w:val="uk-UA"/>
        </w:rPr>
        <w:t>108,5</w:t>
      </w:r>
      <w:r w:rsidRPr="00EE64DD">
        <w:t xml:space="preserve"> </w:t>
      </w:r>
      <w:r w:rsidRPr="00EE64DD">
        <w:rPr>
          <w:lang w:val="uk-UA"/>
        </w:rPr>
        <w:t>відсотки</w:t>
      </w:r>
      <w:r w:rsidRPr="00EE64DD">
        <w:t xml:space="preserve"> до уточнен</w:t>
      </w:r>
      <w:proofErr w:type="spellStart"/>
      <w:r w:rsidRPr="00EE64DD">
        <w:rPr>
          <w:lang w:val="uk-UA"/>
        </w:rPr>
        <w:t>их</w:t>
      </w:r>
      <w:proofErr w:type="spellEnd"/>
      <w:r w:rsidRPr="00EE64DD">
        <w:rPr>
          <w:lang w:val="uk-UA"/>
        </w:rPr>
        <w:t xml:space="preserve"> показників</w:t>
      </w:r>
      <w:r w:rsidRPr="00EE64DD">
        <w:t xml:space="preserve"> (</w:t>
      </w:r>
      <w:r w:rsidRPr="00EE64DD">
        <w:rPr>
          <w:lang w:val="uk-UA"/>
        </w:rPr>
        <w:t>49,0</w:t>
      </w:r>
      <w:r w:rsidRPr="00EE64DD">
        <w:t xml:space="preserve"> тис. </w:t>
      </w:r>
      <w:proofErr w:type="spellStart"/>
      <w:r w:rsidRPr="00EE64DD">
        <w:t>грн</w:t>
      </w:r>
      <w:proofErr w:type="spellEnd"/>
      <w:r w:rsidRPr="00EE64DD">
        <w:t xml:space="preserve">.). </w:t>
      </w:r>
      <w:r w:rsidRPr="00EE64DD">
        <w:rPr>
          <w:lang w:val="uk-UA"/>
        </w:rPr>
        <w:t>В порівнянні з аналогічним періодом минулого року надходження збору збільшилися 1,8 тис. грн. або на 3,5 відсотки.</w:t>
      </w:r>
    </w:p>
    <w:p w:rsidR="00AA4361" w:rsidRPr="00EE64DD" w:rsidRDefault="00AA4361" w:rsidP="00AA4361">
      <w:pPr>
        <w:ind w:firstLine="709"/>
        <w:jc w:val="both"/>
        <w:rPr>
          <w:lang w:val="uk-UA"/>
        </w:rPr>
      </w:pPr>
    </w:p>
    <w:p w:rsidR="00AA4361" w:rsidRPr="00EE64DD" w:rsidRDefault="00AA4361" w:rsidP="00AA4361">
      <w:pPr>
        <w:ind w:firstLine="709"/>
        <w:jc w:val="both"/>
        <w:rPr>
          <w:bdr w:val="none" w:sz="0" w:space="0" w:color="auto" w:frame="1"/>
          <w:lang w:eastAsia="uk-UA"/>
        </w:rPr>
      </w:pPr>
      <w:r w:rsidRPr="00EE64DD">
        <w:rPr>
          <w:lang w:val="uk-UA"/>
        </w:rPr>
        <w:t xml:space="preserve">Третє місце за обсягами надходжень до бюджету громади займають </w:t>
      </w:r>
      <w:r w:rsidRPr="00EE64DD">
        <w:rPr>
          <w:b/>
          <w:bCs/>
          <w:bdr w:val="none" w:sz="0" w:space="0" w:color="auto" w:frame="1"/>
          <w:lang w:val="uk-UA" w:eastAsia="uk-UA"/>
        </w:rPr>
        <w:t>в</w:t>
      </w:r>
      <w:proofErr w:type="spellStart"/>
      <w:r w:rsidRPr="00EE64DD">
        <w:rPr>
          <w:b/>
          <w:bCs/>
          <w:bdr w:val="none" w:sz="0" w:space="0" w:color="auto" w:frame="1"/>
          <w:lang w:eastAsia="uk-UA"/>
        </w:rPr>
        <w:t>нутрішні</w:t>
      </w:r>
      <w:proofErr w:type="spellEnd"/>
      <w:r w:rsidRPr="00EE64DD">
        <w:rPr>
          <w:b/>
          <w:bCs/>
          <w:bdr w:val="none" w:sz="0" w:space="0" w:color="auto" w:frame="1"/>
          <w:lang w:eastAsia="uk-UA"/>
        </w:rPr>
        <w:t xml:space="preserve"> </w:t>
      </w:r>
      <w:proofErr w:type="spellStart"/>
      <w:r w:rsidRPr="00EE64DD">
        <w:rPr>
          <w:b/>
          <w:bCs/>
          <w:bdr w:val="none" w:sz="0" w:space="0" w:color="auto" w:frame="1"/>
          <w:lang w:eastAsia="uk-UA"/>
        </w:rPr>
        <w:t>податки</w:t>
      </w:r>
      <w:proofErr w:type="spellEnd"/>
      <w:r w:rsidRPr="00EE64DD">
        <w:rPr>
          <w:b/>
          <w:bCs/>
          <w:bdr w:val="none" w:sz="0" w:space="0" w:color="auto" w:frame="1"/>
          <w:lang w:eastAsia="uk-UA"/>
        </w:rPr>
        <w:t xml:space="preserve"> на </w:t>
      </w:r>
      <w:proofErr w:type="spellStart"/>
      <w:r w:rsidRPr="00EE64DD">
        <w:rPr>
          <w:b/>
          <w:bCs/>
          <w:bdr w:val="none" w:sz="0" w:space="0" w:color="auto" w:frame="1"/>
          <w:lang w:eastAsia="uk-UA"/>
        </w:rPr>
        <w:t>товари</w:t>
      </w:r>
      <w:proofErr w:type="spellEnd"/>
      <w:r w:rsidRPr="00EE64DD">
        <w:rPr>
          <w:b/>
          <w:bCs/>
          <w:bdr w:val="none" w:sz="0" w:space="0" w:color="auto" w:frame="1"/>
          <w:lang w:eastAsia="uk-UA"/>
        </w:rPr>
        <w:t xml:space="preserve"> та </w:t>
      </w:r>
      <w:proofErr w:type="spellStart"/>
      <w:r w:rsidRPr="00EE64DD">
        <w:rPr>
          <w:b/>
          <w:bCs/>
          <w:bdr w:val="none" w:sz="0" w:space="0" w:color="auto" w:frame="1"/>
          <w:lang w:eastAsia="uk-UA"/>
        </w:rPr>
        <w:t>послуги</w:t>
      </w:r>
      <w:proofErr w:type="spellEnd"/>
      <w:r w:rsidRPr="00EE64DD">
        <w:rPr>
          <w:b/>
          <w:bCs/>
          <w:bdr w:val="none" w:sz="0" w:space="0" w:color="auto" w:frame="1"/>
          <w:lang w:eastAsia="uk-UA"/>
        </w:rPr>
        <w:t> </w:t>
      </w:r>
      <w:r w:rsidRPr="00EE64DD">
        <w:rPr>
          <w:b/>
          <w:bCs/>
          <w:bdr w:val="none" w:sz="0" w:space="0" w:color="auto" w:frame="1"/>
          <w:lang w:val="uk-UA" w:eastAsia="uk-UA"/>
        </w:rPr>
        <w:t xml:space="preserve"> (</w:t>
      </w:r>
      <w:r w:rsidRPr="00EE64DD">
        <w:rPr>
          <w:b/>
          <w:lang w:val="uk-UA"/>
        </w:rPr>
        <w:t xml:space="preserve">акцизний податок) - </w:t>
      </w:r>
      <w:r w:rsidRPr="00EE64DD">
        <w:rPr>
          <w:bdr w:val="none" w:sz="0" w:space="0" w:color="auto" w:frame="1"/>
          <w:lang w:val="uk-UA" w:eastAsia="uk-UA"/>
        </w:rPr>
        <w:t>5</w:t>
      </w:r>
      <w:r w:rsidRPr="00EE64DD">
        <w:rPr>
          <w:bdr w:val="none" w:sz="0" w:space="0" w:color="auto" w:frame="1"/>
          <w:lang w:eastAsia="uk-UA"/>
        </w:rPr>
        <w:t xml:space="preserve">,2 </w:t>
      </w:r>
      <w:r w:rsidRPr="00EE64DD">
        <w:rPr>
          <w:bdr w:val="none" w:sz="0" w:space="0" w:color="auto" w:frame="1"/>
          <w:lang w:val="uk-UA" w:eastAsia="uk-UA"/>
        </w:rPr>
        <w:t xml:space="preserve">відсотки </w:t>
      </w:r>
      <w:proofErr w:type="spellStart"/>
      <w:r w:rsidRPr="00EE64DD">
        <w:rPr>
          <w:bdr w:val="none" w:sz="0" w:space="0" w:color="auto" w:frame="1"/>
          <w:lang w:eastAsia="uk-UA"/>
        </w:rPr>
        <w:t>надходжень</w:t>
      </w:r>
      <w:proofErr w:type="spellEnd"/>
      <w:r w:rsidRPr="00EE64DD">
        <w:rPr>
          <w:bdr w:val="none" w:sz="0" w:space="0" w:color="auto" w:frame="1"/>
          <w:lang w:eastAsia="uk-UA"/>
        </w:rPr>
        <w:t> </w:t>
      </w:r>
      <w:proofErr w:type="spellStart"/>
      <w:r w:rsidRPr="00EE64DD">
        <w:rPr>
          <w:bdr w:val="none" w:sz="0" w:space="0" w:color="auto" w:frame="1"/>
          <w:lang w:eastAsia="uk-UA"/>
        </w:rPr>
        <w:t>загального</w:t>
      </w:r>
      <w:proofErr w:type="spellEnd"/>
      <w:r w:rsidRPr="00EE64DD">
        <w:rPr>
          <w:bdr w:val="none" w:sz="0" w:space="0" w:color="auto" w:frame="1"/>
          <w:lang w:eastAsia="uk-UA"/>
        </w:rPr>
        <w:t xml:space="preserve"> фонду ––</w:t>
      </w:r>
      <w:r w:rsidRPr="00EE64DD">
        <w:rPr>
          <w:bdr w:val="none" w:sz="0" w:space="0" w:color="auto" w:frame="1"/>
          <w:lang w:val="uk-UA" w:eastAsia="uk-UA"/>
        </w:rPr>
        <w:t xml:space="preserve"> 910,4</w:t>
      </w:r>
      <w:r w:rsidRPr="00EE64DD">
        <w:rPr>
          <w:bdr w:val="none" w:sz="0" w:space="0" w:color="auto" w:frame="1"/>
          <w:lang w:eastAsia="uk-UA"/>
        </w:rPr>
        <w:t xml:space="preserve"> тис. </w:t>
      </w:r>
      <w:proofErr w:type="spellStart"/>
      <w:r w:rsidRPr="00EE64DD">
        <w:rPr>
          <w:bdr w:val="none" w:sz="0" w:space="0" w:color="auto" w:frame="1"/>
          <w:lang w:eastAsia="uk-UA"/>
        </w:rPr>
        <w:t>грн</w:t>
      </w:r>
      <w:proofErr w:type="spellEnd"/>
      <w:r w:rsidRPr="00EE64DD">
        <w:rPr>
          <w:bdr w:val="none" w:sz="0" w:space="0" w:color="auto" w:frame="1"/>
          <w:lang w:eastAsia="uk-UA"/>
        </w:rPr>
        <w:t xml:space="preserve">., до </w:t>
      </w:r>
      <w:proofErr w:type="spellStart"/>
      <w:r w:rsidRPr="00EE64DD">
        <w:rPr>
          <w:bdr w:val="none" w:sz="0" w:space="0" w:color="auto" w:frame="1"/>
          <w:lang w:eastAsia="uk-UA"/>
        </w:rPr>
        <w:t>яких</w:t>
      </w:r>
      <w:proofErr w:type="spellEnd"/>
      <w:r w:rsidRPr="00EE64DD">
        <w:rPr>
          <w:bdr w:val="none" w:sz="0" w:space="0" w:color="auto" w:frame="1"/>
          <w:lang w:eastAsia="uk-UA"/>
        </w:rPr>
        <w:t xml:space="preserve"> </w:t>
      </w:r>
      <w:proofErr w:type="spellStart"/>
      <w:r w:rsidRPr="00EE64DD">
        <w:rPr>
          <w:bdr w:val="none" w:sz="0" w:space="0" w:color="auto" w:frame="1"/>
          <w:lang w:eastAsia="uk-UA"/>
        </w:rPr>
        <w:t>входять</w:t>
      </w:r>
      <w:proofErr w:type="spellEnd"/>
      <w:r w:rsidRPr="00EE64DD">
        <w:rPr>
          <w:bdr w:val="none" w:sz="0" w:space="0" w:color="auto" w:frame="1"/>
          <w:lang w:eastAsia="uk-UA"/>
        </w:rPr>
        <w:t>:</w:t>
      </w:r>
    </w:p>
    <w:p w:rsidR="00AA4361" w:rsidRPr="00EE64DD" w:rsidRDefault="00AA4361" w:rsidP="00AA4361">
      <w:pPr>
        <w:shd w:val="clear" w:color="auto" w:fill="FFFFFF"/>
        <w:ind w:firstLine="709"/>
        <w:jc w:val="both"/>
        <w:rPr>
          <w:bdr w:val="none" w:sz="0" w:space="0" w:color="auto" w:frame="1"/>
          <w:lang w:eastAsia="uk-UA"/>
        </w:rPr>
      </w:pPr>
      <w:r w:rsidRPr="00EE64DD">
        <w:rPr>
          <w:bdr w:val="none" w:sz="0" w:space="0" w:color="auto" w:frame="1"/>
          <w:lang w:eastAsia="uk-UA"/>
        </w:rPr>
        <w:t xml:space="preserve">- </w:t>
      </w:r>
      <w:proofErr w:type="spellStart"/>
      <w:r w:rsidRPr="00EE64DD">
        <w:rPr>
          <w:bdr w:val="none" w:sz="0" w:space="0" w:color="auto" w:frame="1"/>
          <w:lang w:eastAsia="uk-UA"/>
        </w:rPr>
        <w:t>акцизний</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податок</w:t>
      </w:r>
      <w:proofErr w:type="spellEnd"/>
      <w:r w:rsidRPr="00EE64DD">
        <w:rPr>
          <w:bdr w:val="none" w:sz="0" w:space="0" w:color="auto" w:frame="1"/>
          <w:lang w:eastAsia="uk-UA"/>
        </w:rPr>
        <w:t xml:space="preserve"> </w:t>
      </w:r>
      <w:proofErr w:type="spellStart"/>
      <w:r w:rsidRPr="00EE64DD">
        <w:rPr>
          <w:bdr w:val="none" w:sz="0" w:space="0" w:color="auto" w:frame="1"/>
          <w:lang w:eastAsia="uk-UA"/>
        </w:rPr>
        <w:t>з</w:t>
      </w:r>
      <w:proofErr w:type="spellEnd"/>
      <w:r w:rsidRPr="00EE64DD">
        <w:rPr>
          <w:bdr w:val="none" w:sz="0" w:space="0" w:color="auto" w:frame="1"/>
          <w:lang w:eastAsia="uk-UA"/>
        </w:rPr>
        <w:t xml:space="preserve"> </w:t>
      </w:r>
      <w:proofErr w:type="spellStart"/>
      <w:r w:rsidRPr="00EE64DD">
        <w:rPr>
          <w:bdr w:val="none" w:sz="0" w:space="0" w:color="auto" w:frame="1"/>
          <w:lang w:eastAsia="uk-UA"/>
        </w:rPr>
        <w:t>вироблених</w:t>
      </w:r>
      <w:proofErr w:type="spellEnd"/>
      <w:r w:rsidRPr="00EE64DD">
        <w:rPr>
          <w:bdr w:val="none" w:sz="0" w:space="0" w:color="auto" w:frame="1"/>
          <w:lang w:eastAsia="uk-UA"/>
        </w:rPr>
        <w:t xml:space="preserve"> в </w:t>
      </w:r>
      <w:proofErr w:type="spellStart"/>
      <w:r w:rsidRPr="00EE64DD">
        <w:rPr>
          <w:bdr w:val="none" w:sz="0" w:space="0" w:color="auto" w:frame="1"/>
          <w:lang w:eastAsia="uk-UA"/>
        </w:rPr>
        <w:t>Україні</w:t>
      </w:r>
      <w:proofErr w:type="spellEnd"/>
      <w:r w:rsidRPr="00EE64DD">
        <w:rPr>
          <w:bdr w:val="none" w:sz="0" w:space="0" w:color="auto" w:frame="1"/>
          <w:lang w:eastAsia="uk-UA"/>
        </w:rPr>
        <w:t xml:space="preserve"> </w:t>
      </w:r>
      <w:proofErr w:type="spellStart"/>
      <w:proofErr w:type="gramStart"/>
      <w:r w:rsidRPr="00EE64DD">
        <w:rPr>
          <w:bdr w:val="none" w:sz="0" w:space="0" w:color="auto" w:frame="1"/>
          <w:lang w:eastAsia="uk-UA"/>
        </w:rPr>
        <w:t>п</w:t>
      </w:r>
      <w:proofErr w:type="gramEnd"/>
      <w:r w:rsidRPr="00EE64DD">
        <w:rPr>
          <w:bdr w:val="none" w:sz="0" w:space="0" w:color="auto" w:frame="1"/>
          <w:lang w:eastAsia="uk-UA"/>
        </w:rPr>
        <w:t>ідакцизних</w:t>
      </w:r>
      <w:proofErr w:type="spellEnd"/>
      <w:r w:rsidRPr="00EE64DD">
        <w:rPr>
          <w:bdr w:val="none" w:sz="0" w:space="0" w:color="auto" w:frame="1"/>
          <w:lang w:eastAsia="uk-UA"/>
        </w:rPr>
        <w:t xml:space="preserve"> </w:t>
      </w:r>
      <w:proofErr w:type="spellStart"/>
      <w:r w:rsidRPr="00EE64DD">
        <w:rPr>
          <w:bdr w:val="none" w:sz="0" w:space="0" w:color="auto" w:frame="1"/>
          <w:lang w:eastAsia="uk-UA"/>
        </w:rPr>
        <w:t>товарів</w:t>
      </w:r>
      <w:proofErr w:type="spellEnd"/>
      <w:r w:rsidRPr="00EE64DD">
        <w:rPr>
          <w:bdr w:val="none" w:sz="0" w:space="0" w:color="auto" w:frame="1"/>
          <w:lang w:eastAsia="uk-UA"/>
        </w:rPr>
        <w:t xml:space="preserve"> (</w:t>
      </w:r>
      <w:proofErr w:type="spellStart"/>
      <w:r w:rsidRPr="00EE64DD">
        <w:rPr>
          <w:bdr w:val="none" w:sz="0" w:space="0" w:color="auto" w:frame="1"/>
          <w:lang w:eastAsia="uk-UA"/>
        </w:rPr>
        <w:t>продукції</w:t>
      </w:r>
      <w:proofErr w:type="spellEnd"/>
      <w:r w:rsidRPr="00EE64DD">
        <w:rPr>
          <w:bdr w:val="none" w:sz="0" w:space="0" w:color="auto" w:frame="1"/>
          <w:lang w:eastAsia="uk-UA"/>
        </w:rPr>
        <w:t>)</w:t>
      </w:r>
      <w:r w:rsidRPr="00EE64DD">
        <w:rPr>
          <w:bdr w:val="none" w:sz="0" w:space="0" w:color="auto" w:frame="1"/>
          <w:lang w:val="uk-UA" w:eastAsia="uk-UA"/>
        </w:rPr>
        <w:t>, який</w:t>
      </w:r>
      <w:r w:rsidRPr="00EE64DD">
        <w:rPr>
          <w:bdr w:val="none" w:sz="0" w:space="0" w:color="auto" w:frame="1"/>
          <w:lang w:eastAsia="uk-UA"/>
        </w:rPr>
        <w:t xml:space="preserve"> у </w:t>
      </w:r>
      <w:proofErr w:type="spellStart"/>
      <w:r w:rsidRPr="00EE64DD">
        <w:rPr>
          <w:bdr w:val="none" w:sz="0" w:space="0" w:color="auto" w:frame="1"/>
          <w:lang w:eastAsia="uk-UA"/>
        </w:rPr>
        <w:t>структурі</w:t>
      </w:r>
      <w:proofErr w:type="spellEnd"/>
      <w:r w:rsidRPr="00EE64DD">
        <w:rPr>
          <w:bdr w:val="none" w:sz="0" w:space="0" w:color="auto" w:frame="1"/>
          <w:lang w:eastAsia="uk-UA"/>
        </w:rPr>
        <w:t xml:space="preserve"> </w:t>
      </w:r>
      <w:proofErr w:type="spellStart"/>
      <w:r w:rsidRPr="00EE64DD">
        <w:rPr>
          <w:bdr w:val="none" w:sz="0" w:space="0" w:color="auto" w:frame="1"/>
          <w:lang w:eastAsia="uk-UA"/>
        </w:rPr>
        <w:t>внутрішніх</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податків</w:t>
      </w:r>
      <w:proofErr w:type="spellEnd"/>
      <w:r w:rsidRPr="00EE64DD">
        <w:rPr>
          <w:bdr w:val="none" w:sz="0" w:space="0" w:color="auto" w:frame="1"/>
          <w:lang w:eastAsia="uk-UA"/>
        </w:rPr>
        <w:t xml:space="preserve"> </w:t>
      </w:r>
      <w:proofErr w:type="spellStart"/>
      <w:r w:rsidRPr="00EE64DD">
        <w:rPr>
          <w:bdr w:val="none" w:sz="0" w:space="0" w:color="auto" w:frame="1"/>
          <w:lang w:eastAsia="uk-UA"/>
        </w:rPr>
        <w:t>займає</w:t>
      </w:r>
      <w:proofErr w:type="spellEnd"/>
      <w:r w:rsidRPr="00EE64DD">
        <w:rPr>
          <w:bdr w:val="none" w:sz="0" w:space="0" w:color="auto" w:frame="1"/>
          <w:lang w:eastAsia="uk-UA"/>
        </w:rPr>
        <w:t xml:space="preserve"> </w:t>
      </w:r>
      <w:r w:rsidRPr="00EE64DD">
        <w:rPr>
          <w:bdr w:val="none" w:sz="0" w:space="0" w:color="auto" w:frame="1"/>
          <w:lang w:val="uk-UA" w:eastAsia="uk-UA"/>
        </w:rPr>
        <w:t>9,4</w:t>
      </w:r>
      <w:r w:rsidRPr="00EE64DD">
        <w:rPr>
          <w:bdr w:val="none" w:sz="0" w:space="0" w:color="auto" w:frame="1"/>
          <w:lang w:eastAsia="uk-UA"/>
        </w:rPr>
        <w:t xml:space="preserve"> </w:t>
      </w:r>
      <w:r w:rsidRPr="00EE64DD">
        <w:rPr>
          <w:bdr w:val="none" w:sz="0" w:space="0" w:color="auto" w:frame="1"/>
          <w:lang w:val="uk-UA" w:eastAsia="uk-UA"/>
        </w:rPr>
        <w:t xml:space="preserve">відсотки </w:t>
      </w:r>
      <w:r w:rsidRPr="00EE64DD">
        <w:rPr>
          <w:bdr w:val="none" w:sz="0" w:space="0" w:color="auto" w:frame="1"/>
          <w:lang w:eastAsia="uk-UA"/>
        </w:rPr>
        <w:t>(</w:t>
      </w:r>
      <w:r w:rsidRPr="00EE64DD">
        <w:rPr>
          <w:bdr w:val="none" w:sz="0" w:space="0" w:color="auto" w:frame="1"/>
          <w:lang w:val="uk-UA" w:eastAsia="uk-UA"/>
        </w:rPr>
        <w:t>85,2</w:t>
      </w:r>
      <w:r w:rsidRPr="00EE64DD">
        <w:rPr>
          <w:bdr w:val="none" w:sz="0" w:space="0" w:color="auto" w:frame="1"/>
          <w:lang w:eastAsia="uk-UA"/>
        </w:rPr>
        <w:t xml:space="preserve"> тис. </w:t>
      </w:r>
      <w:proofErr w:type="spellStart"/>
      <w:r w:rsidRPr="00EE64DD">
        <w:rPr>
          <w:bdr w:val="none" w:sz="0" w:space="0" w:color="auto" w:frame="1"/>
          <w:lang w:eastAsia="uk-UA"/>
        </w:rPr>
        <w:t>грн</w:t>
      </w:r>
      <w:proofErr w:type="spellEnd"/>
      <w:r w:rsidRPr="00EE64DD">
        <w:rPr>
          <w:bdr w:val="none" w:sz="0" w:space="0" w:color="auto" w:frame="1"/>
          <w:lang w:eastAsia="uk-UA"/>
        </w:rPr>
        <w:t>.),</w:t>
      </w:r>
      <w:r w:rsidRPr="00EE64DD">
        <w:rPr>
          <w:bdr w:val="none" w:sz="0" w:space="0" w:color="auto" w:frame="1"/>
          <w:lang w:val="uk-UA" w:eastAsia="uk-UA"/>
        </w:rPr>
        <w:t xml:space="preserve"> при</w:t>
      </w:r>
      <w:r w:rsidRPr="00EE64DD">
        <w:rPr>
          <w:bdr w:val="none" w:sz="0" w:space="0" w:color="auto" w:frame="1"/>
          <w:lang w:eastAsia="uk-UA"/>
        </w:rPr>
        <w:t xml:space="preserve"> </w:t>
      </w:r>
      <w:proofErr w:type="spellStart"/>
      <w:r w:rsidRPr="00EE64DD">
        <w:rPr>
          <w:bdr w:val="none" w:sz="0" w:space="0" w:color="auto" w:frame="1"/>
          <w:lang w:eastAsia="uk-UA"/>
        </w:rPr>
        <w:t>планових</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показниках</w:t>
      </w:r>
      <w:proofErr w:type="spellEnd"/>
      <w:r w:rsidRPr="00EE64DD">
        <w:rPr>
          <w:bdr w:val="none" w:sz="0" w:space="0" w:color="auto" w:frame="1"/>
          <w:lang w:eastAsia="uk-UA"/>
        </w:rPr>
        <w:t xml:space="preserve"> </w:t>
      </w:r>
      <w:r w:rsidRPr="00EE64DD">
        <w:rPr>
          <w:bdr w:val="none" w:sz="0" w:space="0" w:color="auto" w:frame="1"/>
          <w:lang w:val="uk-UA" w:eastAsia="uk-UA"/>
        </w:rPr>
        <w:t>84,0</w:t>
      </w:r>
      <w:r w:rsidRPr="00EE64DD">
        <w:rPr>
          <w:bdr w:val="none" w:sz="0" w:space="0" w:color="auto" w:frame="1"/>
          <w:lang w:eastAsia="uk-UA"/>
        </w:rPr>
        <w:t xml:space="preserve"> тис. </w:t>
      </w:r>
      <w:proofErr w:type="spellStart"/>
      <w:r w:rsidRPr="00EE64DD">
        <w:rPr>
          <w:bdr w:val="none" w:sz="0" w:space="0" w:color="auto" w:frame="1"/>
          <w:lang w:eastAsia="uk-UA"/>
        </w:rPr>
        <w:t>грн</w:t>
      </w:r>
      <w:proofErr w:type="spellEnd"/>
      <w:r w:rsidRPr="00EE64DD">
        <w:rPr>
          <w:bdr w:val="none" w:sz="0" w:space="0" w:color="auto" w:frame="1"/>
          <w:lang w:eastAsia="uk-UA"/>
        </w:rPr>
        <w:t xml:space="preserve">.,  </w:t>
      </w:r>
      <w:r w:rsidRPr="00EE64DD">
        <w:rPr>
          <w:bdr w:val="none" w:sz="0" w:space="0" w:color="auto" w:frame="1"/>
          <w:lang w:val="uk-UA" w:eastAsia="uk-UA"/>
        </w:rPr>
        <w:t>виконано на 117,4 відсотки</w:t>
      </w:r>
      <w:r w:rsidRPr="00EE64DD">
        <w:rPr>
          <w:bdr w:val="none" w:sz="0" w:space="0" w:color="auto" w:frame="1"/>
          <w:lang w:eastAsia="uk-UA"/>
        </w:rPr>
        <w:t>;</w:t>
      </w:r>
    </w:p>
    <w:p w:rsidR="00AA4361" w:rsidRPr="00EE64DD" w:rsidRDefault="00AA4361" w:rsidP="00AA4361">
      <w:pPr>
        <w:shd w:val="clear" w:color="auto" w:fill="FFFFFF"/>
        <w:ind w:firstLine="709"/>
        <w:jc w:val="both"/>
        <w:rPr>
          <w:bdr w:val="none" w:sz="0" w:space="0" w:color="auto" w:frame="1"/>
          <w:lang w:eastAsia="uk-UA"/>
        </w:rPr>
      </w:pPr>
      <w:r w:rsidRPr="00EE64DD">
        <w:rPr>
          <w:bdr w:val="none" w:sz="0" w:space="0" w:color="auto" w:frame="1"/>
          <w:lang w:eastAsia="uk-UA"/>
        </w:rPr>
        <w:t xml:space="preserve">- </w:t>
      </w:r>
      <w:proofErr w:type="spellStart"/>
      <w:r w:rsidRPr="00EE64DD">
        <w:rPr>
          <w:bdr w:val="none" w:sz="0" w:space="0" w:color="auto" w:frame="1"/>
          <w:lang w:eastAsia="uk-UA"/>
        </w:rPr>
        <w:t>акцизний</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податок</w:t>
      </w:r>
      <w:proofErr w:type="spellEnd"/>
      <w:r w:rsidRPr="00EE64DD">
        <w:rPr>
          <w:bdr w:val="none" w:sz="0" w:space="0" w:color="auto" w:frame="1"/>
          <w:lang w:eastAsia="uk-UA"/>
        </w:rPr>
        <w:t xml:space="preserve"> </w:t>
      </w:r>
      <w:proofErr w:type="spellStart"/>
      <w:r w:rsidRPr="00EE64DD">
        <w:rPr>
          <w:bdr w:val="none" w:sz="0" w:space="0" w:color="auto" w:frame="1"/>
          <w:lang w:eastAsia="uk-UA"/>
        </w:rPr>
        <w:t>з</w:t>
      </w:r>
      <w:proofErr w:type="spellEnd"/>
      <w:r w:rsidRPr="00EE64DD">
        <w:rPr>
          <w:bdr w:val="none" w:sz="0" w:space="0" w:color="auto" w:frame="1"/>
          <w:lang w:eastAsia="uk-UA"/>
        </w:rPr>
        <w:t xml:space="preserve"> </w:t>
      </w:r>
      <w:proofErr w:type="spellStart"/>
      <w:r w:rsidRPr="00EE64DD">
        <w:rPr>
          <w:bdr w:val="none" w:sz="0" w:space="0" w:color="auto" w:frame="1"/>
          <w:lang w:eastAsia="uk-UA"/>
        </w:rPr>
        <w:t>ввезених</w:t>
      </w:r>
      <w:proofErr w:type="spellEnd"/>
      <w:r w:rsidRPr="00EE64DD">
        <w:rPr>
          <w:bdr w:val="none" w:sz="0" w:space="0" w:color="auto" w:frame="1"/>
          <w:lang w:eastAsia="uk-UA"/>
        </w:rPr>
        <w:t xml:space="preserve"> на </w:t>
      </w:r>
      <w:proofErr w:type="spellStart"/>
      <w:r w:rsidRPr="00EE64DD">
        <w:rPr>
          <w:bdr w:val="none" w:sz="0" w:space="0" w:color="auto" w:frame="1"/>
          <w:lang w:eastAsia="uk-UA"/>
        </w:rPr>
        <w:t>митну</w:t>
      </w:r>
      <w:proofErr w:type="spellEnd"/>
      <w:r w:rsidRPr="00EE64DD">
        <w:rPr>
          <w:bdr w:val="none" w:sz="0" w:space="0" w:color="auto" w:frame="1"/>
          <w:lang w:eastAsia="uk-UA"/>
        </w:rPr>
        <w:t xml:space="preserve"> </w:t>
      </w:r>
      <w:proofErr w:type="spellStart"/>
      <w:r w:rsidRPr="00EE64DD">
        <w:rPr>
          <w:bdr w:val="none" w:sz="0" w:space="0" w:color="auto" w:frame="1"/>
          <w:lang w:eastAsia="uk-UA"/>
        </w:rPr>
        <w:t>територію</w:t>
      </w:r>
      <w:proofErr w:type="spellEnd"/>
      <w:r w:rsidRPr="00EE64DD">
        <w:rPr>
          <w:bdr w:val="none" w:sz="0" w:space="0" w:color="auto" w:frame="1"/>
          <w:lang w:eastAsia="uk-UA"/>
        </w:rPr>
        <w:t xml:space="preserve"> </w:t>
      </w:r>
      <w:proofErr w:type="spellStart"/>
      <w:r w:rsidRPr="00EE64DD">
        <w:rPr>
          <w:bdr w:val="none" w:sz="0" w:space="0" w:color="auto" w:frame="1"/>
          <w:lang w:eastAsia="uk-UA"/>
        </w:rPr>
        <w:t>України</w:t>
      </w:r>
      <w:proofErr w:type="spellEnd"/>
      <w:r w:rsidRPr="00EE64DD">
        <w:rPr>
          <w:bdr w:val="none" w:sz="0" w:space="0" w:color="auto" w:frame="1"/>
          <w:lang w:eastAsia="uk-UA"/>
        </w:rPr>
        <w:t xml:space="preserve"> </w:t>
      </w:r>
      <w:proofErr w:type="spellStart"/>
      <w:proofErr w:type="gramStart"/>
      <w:r w:rsidRPr="00EE64DD">
        <w:rPr>
          <w:bdr w:val="none" w:sz="0" w:space="0" w:color="auto" w:frame="1"/>
          <w:lang w:eastAsia="uk-UA"/>
        </w:rPr>
        <w:t>п</w:t>
      </w:r>
      <w:proofErr w:type="gramEnd"/>
      <w:r w:rsidRPr="00EE64DD">
        <w:rPr>
          <w:bdr w:val="none" w:sz="0" w:space="0" w:color="auto" w:frame="1"/>
          <w:lang w:eastAsia="uk-UA"/>
        </w:rPr>
        <w:t>ідакцизних</w:t>
      </w:r>
      <w:proofErr w:type="spellEnd"/>
      <w:r w:rsidRPr="00EE64DD">
        <w:rPr>
          <w:bdr w:val="none" w:sz="0" w:space="0" w:color="auto" w:frame="1"/>
          <w:lang w:eastAsia="uk-UA"/>
        </w:rPr>
        <w:t xml:space="preserve"> </w:t>
      </w:r>
      <w:proofErr w:type="spellStart"/>
      <w:r w:rsidRPr="00EE64DD">
        <w:rPr>
          <w:bdr w:val="none" w:sz="0" w:space="0" w:color="auto" w:frame="1"/>
          <w:lang w:eastAsia="uk-UA"/>
        </w:rPr>
        <w:t>товарів</w:t>
      </w:r>
      <w:proofErr w:type="spellEnd"/>
      <w:r w:rsidRPr="00EE64DD">
        <w:rPr>
          <w:bdr w:val="none" w:sz="0" w:space="0" w:color="auto" w:frame="1"/>
          <w:lang w:eastAsia="uk-UA"/>
        </w:rPr>
        <w:t xml:space="preserve"> (</w:t>
      </w:r>
      <w:proofErr w:type="spellStart"/>
      <w:r w:rsidRPr="00EE64DD">
        <w:rPr>
          <w:bdr w:val="none" w:sz="0" w:space="0" w:color="auto" w:frame="1"/>
          <w:lang w:eastAsia="uk-UA"/>
        </w:rPr>
        <w:t>продукції</w:t>
      </w:r>
      <w:proofErr w:type="spellEnd"/>
      <w:r w:rsidRPr="00EE64DD">
        <w:rPr>
          <w:bdr w:val="none" w:sz="0" w:space="0" w:color="auto" w:frame="1"/>
          <w:lang w:eastAsia="uk-UA"/>
        </w:rPr>
        <w:t xml:space="preserve">) у </w:t>
      </w:r>
      <w:proofErr w:type="spellStart"/>
      <w:r w:rsidRPr="00EE64DD">
        <w:rPr>
          <w:bdr w:val="none" w:sz="0" w:space="0" w:color="auto" w:frame="1"/>
          <w:lang w:eastAsia="uk-UA"/>
        </w:rPr>
        <w:t>структурі</w:t>
      </w:r>
      <w:proofErr w:type="spellEnd"/>
      <w:r w:rsidRPr="00EE64DD">
        <w:rPr>
          <w:bdr w:val="none" w:sz="0" w:space="0" w:color="auto" w:frame="1"/>
          <w:lang w:eastAsia="uk-UA"/>
        </w:rPr>
        <w:t xml:space="preserve"> </w:t>
      </w:r>
      <w:proofErr w:type="spellStart"/>
      <w:r w:rsidRPr="00EE64DD">
        <w:rPr>
          <w:bdr w:val="none" w:sz="0" w:space="0" w:color="auto" w:frame="1"/>
          <w:lang w:eastAsia="uk-UA"/>
        </w:rPr>
        <w:t>внутрішніх</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податків</w:t>
      </w:r>
      <w:proofErr w:type="spellEnd"/>
      <w:r w:rsidRPr="00EE64DD">
        <w:rPr>
          <w:bdr w:val="none" w:sz="0" w:space="0" w:color="auto" w:frame="1"/>
          <w:lang w:eastAsia="uk-UA"/>
        </w:rPr>
        <w:t xml:space="preserve"> </w:t>
      </w:r>
      <w:proofErr w:type="spellStart"/>
      <w:r w:rsidRPr="00EE64DD">
        <w:rPr>
          <w:bdr w:val="none" w:sz="0" w:space="0" w:color="auto" w:frame="1"/>
          <w:lang w:eastAsia="uk-UA"/>
        </w:rPr>
        <w:t>займає</w:t>
      </w:r>
      <w:proofErr w:type="spellEnd"/>
      <w:r w:rsidRPr="00EE64DD">
        <w:rPr>
          <w:bdr w:val="none" w:sz="0" w:space="0" w:color="auto" w:frame="1"/>
          <w:lang w:eastAsia="uk-UA"/>
        </w:rPr>
        <w:t xml:space="preserve"> </w:t>
      </w:r>
      <w:r w:rsidRPr="00EE64DD">
        <w:rPr>
          <w:bdr w:val="none" w:sz="0" w:space="0" w:color="auto" w:frame="1"/>
          <w:lang w:val="uk-UA" w:eastAsia="uk-UA"/>
        </w:rPr>
        <w:t>55,5 відсотки</w:t>
      </w:r>
      <w:r w:rsidRPr="00EE64DD">
        <w:rPr>
          <w:bdr w:val="none" w:sz="0" w:space="0" w:color="auto" w:frame="1"/>
          <w:lang w:eastAsia="uk-UA"/>
        </w:rPr>
        <w:t xml:space="preserve"> (</w:t>
      </w:r>
      <w:r w:rsidRPr="00EE64DD">
        <w:rPr>
          <w:bdr w:val="none" w:sz="0" w:space="0" w:color="auto" w:frame="1"/>
          <w:lang w:val="uk-UA" w:eastAsia="uk-UA"/>
        </w:rPr>
        <w:t>505,0</w:t>
      </w:r>
      <w:r w:rsidRPr="00EE64DD">
        <w:rPr>
          <w:bdr w:val="none" w:sz="0" w:space="0" w:color="auto" w:frame="1"/>
          <w:lang w:eastAsia="uk-UA"/>
        </w:rPr>
        <w:t xml:space="preserve"> тис. </w:t>
      </w:r>
      <w:proofErr w:type="spellStart"/>
      <w:r w:rsidRPr="00EE64DD">
        <w:rPr>
          <w:bdr w:val="none" w:sz="0" w:space="0" w:color="auto" w:frame="1"/>
          <w:lang w:eastAsia="uk-UA"/>
        </w:rPr>
        <w:t>грн</w:t>
      </w:r>
      <w:proofErr w:type="spellEnd"/>
      <w:r w:rsidRPr="00EE64DD">
        <w:rPr>
          <w:bdr w:val="none" w:sz="0" w:space="0" w:color="auto" w:frame="1"/>
          <w:lang w:eastAsia="uk-UA"/>
        </w:rPr>
        <w:t xml:space="preserve">.) при </w:t>
      </w:r>
      <w:proofErr w:type="spellStart"/>
      <w:r w:rsidRPr="00EE64DD">
        <w:rPr>
          <w:bdr w:val="none" w:sz="0" w:space="0" w:color="auto" w:frame="1"/>
          <w:lang w:eastAsia="uk-UA"/>
        </w:rPr>
        <w:t>планових</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показниках</w:t>
      </w:r>
      <w:proofErr w:type="spellEnd"/>
      <w:r w:rsidRPr="00EE64DD">
        <w:rPr>
          <w:bdr w:val="none" w:sz="0" w:space="0" w:color="auto" w:frame="1"/>
          <w:lang w:eastAsia="uk-UA"/>
        </w:rPr>
        <w:t xml:space="preserve"> </w:t>
      </w:r>
      <w:r w:rsidRPr="00EE64DD">
        <w:rPr>
          <w:bdr w:val="none" w:sz="0" w:space="0" w:color="auto" w:frame="1"/>
          <w:lang w:val="uk-UA" w:eastAsia="uk-UA"/>
        </w:rPr>
        <w:t>417,0</w:t>
      </w:r>
      <w:r w:rsidRPr="00EE64DD">
        <w:rPr>
          <w:bdr w:val="none" w:sz="0" w:space="0" w:color="auto" w:frame="1"/>
          <w:lang w:eastAsia="uk-UA"/>
        </w:rPr>
        <w:t xml:space="preserve"> тис. </w:t>
      </w:r>
      <w:proofErr w:type="spellStart"/>
      <w:r w:rsidRPr="00EE64DD">
        <w:rPr>
          <w:bdr w:val="none" w:sz="0" w:space="0" w:color="auto" w:frame="1"/>
          <w:lang w:eastAsia="uk-UA"/>
        </w:rPr>
        <w:t>грн</w:t>
      </w:r>
      <w:proofErr w:type="spellEnd"/>
      <w:r w:rsidRPr="00EE64DD">
        <w:rPr>
          <w:bdr w:val="none" w:sz="0" w:space="0" w:color="auto" w:frame="1"/>
          <w:lang w:eastAsia="uk-UA"/>
        </w:rPr>
        <w:t xml:space="preserve">.,  </w:t>
      </w:r>
      <w:r w:rsidRPr="00EE64DD">
        <w:rPr>
          <w:bdr w:val="none" w:sz="0" w:space="0" w:color="auto" w:frame="1"/>
          <w:lang w:val="uk-UA" w:eastAsia="uk-UA"/>
        </w:rPr>
        <w:t>виконання складає 121,1 відсотки</w:t>
      </w:r>
      <w:r w:rsidRPr="00EE64DD">
        <w:rPr>
          <w:bdr w:val="none" w:sz="0" w:space="0" w:color="auto" w:frame="1"/>
          <w:lang w:eastAsia="uk-UA"/>
        </w:rPr>
        <w:t>;</w:t>
      </w:r>
    </w:p>
    <w:p w:rsidR="00AA4361" w:rsidRPr="00EE64DD" w:rsidRDefault="00AA4361" w:rsidP="00AA4361">
      <w:pPr>
        <w:shd w:val="clear" w:color="auto" w:fill="FFFFFF"/>
        <w:ind w:firstLine="709"/>
        <w:jc w:val="both"/>
        <w:rPr>
          <w:bdr w:val="none" w:sz="0" w:space="0" w:color="auto" w:frame="1"/>
          <w:lang w:val="uk-UA" w:eastAsia="uk-UA"/>
        </w:rPr>
      </w:pPr>
      <w:r w:rsidRPr="00EE64DD">
        <w:rPr>
          <w:bdr w:val="none" w:sz="0" w:space="0" w:color="auto" w:frame="1"/>
          <w:lang w:eastAsia="uk-UA"/>
        </w:rPr>
        <w:t xml:space="preserve">- </w:t>
      </w:r>
      <w:proofErr w:type="spellStart"/>
      <w:r w:rsidRPr="00EE64DD">
        <w:rPr>
          <w:bdr w:val="none" w:sz="0" w:space="0" w:color="auto" w:frame="1"/>
          <w:lang w:eastAsia="uk-UA"/>
        </w:rPr>
        <w:t>акцизний</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податок</w:t>
      </w:r>
      <w:proofErr w:type="spellEnd"/>
      <w:r w:rsidRPr="00EE64DD">
        <w:rPr>
          <w:bdr w:val="none" w:sz="0" w:space="0" w:color="auto" w:frame="1"/>
          <w:lang w:eastAsia="uk-UA"/>
        </w:rPr>
        <w:t xml:space="preserve"> </w:t>
      </w:r>
      <w:proofErr w:type="spellStart"/>
      <w:r w:rsidRPr="00EE64DD">
        <w:rPr>
          <w:bdr w:val="none" w:sz="0" w:space="0" w:color="auto" w:frame="1"/>
          <w:lang w:eastAsia="uk-UA"/>
        </w:rPr>
        <w:t>з</w:t>
      </w:r>
      <w:proofErr w:type="spellEnd"/>
      <w:r w:rsidRPr="00EE64DD">
        <w:rPr>
          <w:bdr w:val="none" w:sz="0" w:space="0" w:color="auto" w:frame="1"/>
          <w:lang w:eastAsia="uk-UA"/>
        </w:rPr>
        <w:t xml:space="preserve"> </w:t>
      </w:r>
      <w:proofErr w:type="spellStart"/>
      <w:r w:rsidRPr="00EE64DD">
        <w:rPr>
          <w:bdr w:val="none" w:sz="0" w:space="0" w:color="auto" w:frame="1"/>
          <w:lang w:eastAsia="uk-UA"/>
        </w:rPr>
        <w:t>реалізації</w:t>
      </w:r>
      <w:proofErr w:type="spellEnd"/>
      <w:r w:rsidRPr="00EE64DD">
        <w:rPr>
          <w:bdr w:val="none" w:sz="0" w:space="0" w:color="auto" w:frame="1"/>
          <w:lang w:eastAsia="uk-UA"/>
        </w:rPr>
        <w:t xml:space="preserve"> </w:t>
      </w:r>
      <w:proofErr w:type="spellStart"/>
      <w:r w:rsidRPr="00EE64DD">
        <w:rPr>
          <w:bdr w:val="none" w:sz="0" w:space="0" w:color="auto" w:frame="1"/>
          <w:lang w:eastAsia="uk-UA"/>
        </w:rPr>
        <w:t>суб`єктами</w:t>
      </w:r>
      <w:proofErr w:type="spellEnd"/>
      <w:r w:rsidRPr="00EE64DD">
        <w:rPr>
          <w:bdr w:val="none" w:sz="0" w:space="0" w:color="auto" w:frame="1"/>
          <w:lang w:eastAsia="uk-UA"/>
        </w:rPr>
        <w:t xml:space="preserve"> </w:t>
      </w:r>
      <w:proofErr w:type="spellStart"/>
      <w:r w:rsidRPr="00EE64DD">
        <w:rPr>
          <w:bdr w:val="none" w:sz="0" w:space="0" w:color="auto" w:frame="1"/>
          <w:lang w:eastAsia="uk-UA"/>
        </w:rPr>
        <w:t>господарювання</w:t>
      </w:r>
      <w:proofErr w:type="spellEnd"/>
      <w:r w:rsidRPr="00EE64DD">
        <w:rPr>
          <w:bdr w:val="none" w:sz="0" w:space="0" w:color="auto" w:frame="1"/>
          <w:lang w:eastAsia="uk-UA"/>
        </w:rPr>
        <w:t xml:space="preserve"> </w:t>
      </w:r>
      <w:proofErr w:type="spellStart"/>
      <w:r w:rsidRPr="00EE64DD">
        <w:rPr>
          <w:bdr w:val="none" w:sz="0" w:space="0" w:color="auto" w:frame="1"/>
          <w:lang w:eastAsia="uk-UA"/>
        </w:rPr>
        <w:t>роздрібної</w:t>
      </w:r>
      <w:proofErr w:type="spellEnd"/>
      <w:r w:rsidRPr="00EE64DD">
        <w:rPr>
          <w:bdr w:val="none" w:sz="0" w:space="0" w:color="auto" w:frame="1"/>
          <w:lang w:eastAsia="uk-UA"/>
        </w:rPr>
        <w:t xml:space="preserve"> </w:t>
      </w:r>
      <w:proofErr w:type="spellStart"/>
      <w:r w:rsidRPr="00EE64DD">
        <w:rPr>
          <w:bdr w:val="none" w:sz="0" w:space="0" w:color="auto" w:frame="1"/>
          <w:lang w:eastAsia="uk-UA"/>
        </w:rPr>
        <w:t>торгі</w:t>
      </w:r>
      <w:proofErr w:type="gramStart"/>
      <w:r w:rsidRPr="00EE64DD">
        <w:rPr>
          <w:bdr w:val="none" w:sz="0" w:space="0" w:color="auto" w:frame="1"/>
          <w:lang w:eastAsia="uk-UA"/>
        </w:rPr>
        <w:t>вл</w:t>
      </w:r>
      <w:proofErr w:type="gramEnd"/>
      <w:r w:rsidRPr="00EE64DD">
        <w:rPr>
          <w:bdr w:val="none" w:sz="0" w:space="0" w:color="auto" w:frame="1"/>
          <w:lang w:eastAsia="uk-UA"/>
        </w:rPr>
        <w:t>і</w:t>
      </w:r>
      <w:proofErr w:type="spellEnd"/>
      <w:r w:rsidRPr="00EE64DD">
        <w:rPr>
          <w:bdr w:val="none" w:sz="0" w:space="0" w:color="auto" w:frame="1"/>
          <w:lang w:eastAsia="uk-UA"/>
        </w:rPr>
        <w:t xml:space="preserve"> </w:t>
      </w:r>
      <w:proofErr w:type="spellStart"/>
      <w:r w:rsidRPr="00EE64DD">
        <w:rPr>
          <w:bdr w:val="none" w:sz="0" w:space="0" w:color="auto" w:frame="1"/>
          <w:lang w:eastAsia="uk-UA"/>
        </w:rPr>
        <w:t>підакцизних</w:t>
      </w:r>
      <w:proofErr w:type="spellEnd"/>
      <w:r w:rsidRPr="00EE64DD">
        <w:rPr>
          <w:bdr w:val="none" w:sz="0" w:space="0" w:color="auto" w:frame="1"/>
          <w:lang w:eastAsia="uk-UA"/>
        </w:rPr>
        <w:t xml:space="preserve"> </w:t>
      </w:r>
      <w:proofErr w:type="spellStart"/>
      <w:r w:rsidRPr="00EE64DD">
        <w:rPr>
          <w:bdr w:val="none" w:sz="0" w:space="0" w:color="auto" w:frame="1"/>
          <w:lang w:eastAsia="uk-UA"/>
        </w:rPr>
        <w:t>товарів</w:t>
      </w:r>
      <w:proofErr w:type="spellEnd"/>
      <w:r w:rsidRPr="00EE64DD">
        <w:rPr>
          <w:bdr w:val="none" w:sz="0" w:space="0" w:color="auto" w:frame="1"/>
          <w:lang w:eastAsia="uk-UA"/>
        </w:rPr>
        <w:t xml:space="preserve"> у </w:t>
      </w:r>
      <w:proofErr w:type="spellStart"/>
      <w:r w:rsidRPr="00EE64DD">
        <w:rPr>
          <w:bdr w:val="none" w:sz="0" w:space="0" w:color="auto" w:frame="1"/>
          <w:lang w:eastAsia="uk-UA"/>
        </w:rPr>
        <w:t>структурі</w:t>
      </w:r>
      <w:proofErr w:type="spellEnd"/>
      <w:r w:rsidRPr="00EE64DD">
        <w:rPr>
          <w:bdr w:val="none" w:sz="0" w:space="0" w:color="auto" w:frame="1"/>
          <w:lang w:eastAsia="uk-UA"/>
        </w:rPr>
        <w:t xml:space="preserve"> </w:t>
      </w:r>
      <w:proofErr w:type="spellStart"/>
      <w:r w:rsidRPr="00EE64DD">
        <w:rPr>
          <w:bdr w:val="none" w:sz="0" w:space="0" w:color="auto" w:frame="1"/>
          <w:lang w:eastAsia="uk-UA"/>
        </w:rPr>
        <w:t>внутрішніх</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податків</w:t>
      </w:r>
      <w:proofErr w:type="spellEnd"/>
      <w:r w:rsidRPr="00EE64DD">
        <w:rPr>
          <w:bdr w:val="none" w:sz="0" w:space="0" w:color="auto" w:frame="1"/>
          <w:lang w:eastAsia="uk-UA"/>
        </w:rPr>
        <w:t xml:space="preserve"> </w:t>
      </w:r>
      <w:proofErr w:type="spellStart"/>
      <w:r w:rsidRPr="00EE64DD">
        <w:rPr>
          <w:bdr w:val="none" w:sz="0" w:space="0" w:color="auto" w:frame="1"/>
          <w:lang w:eastAsia="uk-UA"/>
        </w:rPr>
        <w:t>займає</w:t>
      </w:r>
      <w:proofErr w:type="spellEnd"/>
      <w:r w:rsidRPr="00EE64DD">
        <w:rPr>
          <w:bdr w:val="none" w:sz="0" w:space="0" w:color="auto" w:frame="1"/>
          <w:lang w:eastAsia="uk-UA"/>
        </w:rPr>
        <w:t xml:space="preserve"> </w:t>
      </w:r>
      <w:r w:rsidRPr="00EE64DD">
        <w:rPr>
          <w:bdr w:val="none" w:sz="0" w:space="0" w:color="auto" w:frame="1"/>
          <w:lang w:val="uk-UA" w:eastAsia="uk-UA"/>
        </w:rPr>
        <w:t>35,1</w:t>
      </w:r>
      <w:r w:rsidRPr="00EE64DD">
        <w:rPr>
          <w:bdr w:val="none" w:sz="0" w:space="0" w:color="auto" w:frame="1"/>
          <w:lang w:eastAsia="uk-UA"/>
        </w:rPr>
        <w:t xml:space="preserve"> </w:t>
      </w:r>
      <w:r w:rsidRPr="00EE64DD">
        <w:rPr>
          <w:bdr w:val="none" w:sz="0" w:space="0" w:color="auto" w:frame="1"/>
          <w:lang w:val="uk-UA" w:eastAsia="uk-UA"/>
        </w:rPr>
        <w:t>відсотки</w:t>
      </w:r>
      <w:r w:rsidRPr="00EE64DD">
        <w:rPr>
          <w:bdr w:val="none" w:sz="0" w:space="0" w:color="auto" w:frame="1"/>
          <w:lang w:eastAsia="uk-UA"/>
        </w:rPr>
        <w:t xml:space="preserve"> (</w:t>
      </w:r>
      <w:r w:rsidRPr="00EE64DD">
        <w:rPr>
          <w:bdr w:val="none" w:sz="0" w:space="0" w:color="auto" w:frame="1"/>
          <w:lang w:val="uk-UA" w:eastAsia="uk-UA"/>
        </w:rPr>
        <w:t>320,2</w:t>
      </w:r>
      <w:r w:rsidRPr="00EE64DD">
        <w:rPr>
          <w:bdr w:val="none" w:sz="0" w:space="0" w:color="auto" w:frame="1"/>
          <w:lang w:eastAsia="uk-UA"/>
        </w:rPr>
        <w:t xml:space="preserve"> тис. </w:t>
      </w:r>
      <w:proofErr w:type="spellStart"/>
      <w:r w:rsidRPr="00EE64DD">
        <w:rPr>
          <w:bdr w:val="none" w:sz="0" w:space="0" w:color="auto" w:frame="1"/>
          <w:lang w:eastAsia="uk-UA"/>
        </w:rPr>
        <w:t>грн</w:t>
      </w:r>
      <w:proofErr w:type="spellEnd"/>
      <w:r w:rsidRPr="00EE64DD">
        <w:rPr>
          <w:bdr w:val="none" w:sz="0" w:space="0" w:color="auto" w:frame="1"/>
          <w:lang w:eastAsia="uk-UA"/>
        </w:rPr>
        <w:t xml:space="preserve">.), </w:t>
      </w:r>
      <w:proofErr w:type="spellStart"/>
      <w:r w:rsidRPr="00EE64DD">
        <w:rPr>
          <w:bdr w:val="none" w:sz="0" w:space="0" w:color="auto" w:frame="1"/>
          <w:lang w:eastAsia="uk-UA"/>
        </w:rPr>
        <w:t>планові</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показники</w:t>
      </w:r>
      <w:proofErr w:type="spellEnd"/>
      <w:r w:rsidRPr="00EE64DD">
        <w:rPr>
          <w:bdr w:val="none" w:sz="0" w:space="0" w:color="auto" w:frame="1"/>
          <w:lang w:eastAsia="uk-UA"/>
        </w:rPr>
        <w:t xml:space="preserve"> </w:t>
      </w:r>
      <w:r w:rsidRPr="00EE64DD">
        <w:rPr>
          <w:bdr w:val="none" w:sz="0" w:space="0" w:color="auto" w:frame="1"/>
          <w:lang w:val="uk-UA" w:eastAsia="uk-UA"/>
        </w:rPr>
        <w:t>274</w:t>
      </w:r>
      <w:r w:rsidRPr="00EE64DD">
        <w:rPr>
          <w:bdr w:val="none" w:sz="0" w:space="0" w:color="auto" w:frame="1"/>
          <w:lang w:eastAsia="uk-UA"/>
        </w:rPr>
        <w:t xml:space="preserve">,4 тис. </w:t>
      </w:r>
      <w:proofErr w:type="spellStart"/>
      <w:r w:rsidRPr="00EE64DD">
        <w:rPr>
          <w:bdr w:val="none" w:sz="0" w:space="0" w:color="auto" w:frame="1"/>
          <w:lang w:eastAsia="uk-UA"/>
        </w:rPr>
        <w:t>грн</w:t>
      </w:r>
      <w:proofErr w:type="spellEnd"/>
      <w:r w:rsidRPr="00EE64DD">
        <w:rPr>
          <w:bdr w:val="none" w:sz="0" w:space="0" w:color="auto" w:frame="1"/>
          <w:lang w:eastAsia="uk-UA"/>
        </w:rPr>
        <w:t xml:space="preserve">., </w:t>
      </w:r>
      <w:r w:rsidRPr="00EE64DD">
        <w:rPr>
          <w:bdr w:val="none" w:sz="0" w:space="0" w:color="auto" w:frame="1"/>
          <w:lang w:val="uk-UA" w:eastAsia="uk-UA"/>
        </w:rPr>
        <w:t>виконання становить 116,7 відсотки.</w:t>
      </w:r>
      <w:r w:rsidRPr="00EE64DD">
        <w:rPr>
          <w:bdr w:val="none" w:sz="0" w:space="0" w:color="auto" w:frame="1"/>
          <w:lang w:eastAsia="uk-UA"/>
        </w:rPr>
        <w:t> </w:t>
      </w:r>
    </w:p>
    <w:p w:rsidR="00AA4361" w:rsidRPr="00EE64DD" w:rsidRDefault="00AA4361" w:rsidP="00AA4361">
      <w:pPr>
        <w:shd w:val="clear" w:color="auto" w:fill="FFFFFF"/>
        <w:ind w:firstLine="709"/>
        <w:jc w:val="both"/>
        <w:rPr>
          <w:bdr w:val="none" w:sz="0" w:space="0" w:color="auto" w:frame="1"/>
          <w:lang w:val="uk-UA" w:eastAsia="uk-UA"/>
        </w:rPr>
      </w:pPr>
    </w:p>
    <w:p w:rsidR="00AA4361" w:rsidRPr="00EE64DD" w:rsidRDefault="00AA4361" w:rsidP="00AA4361">
      <w:pPr>
        <w:shd w:val="clear" w:color="auto" w:fill="FFFFFF"/>
        <w:spacing w:line="276" w:lineRule="auto"/>
        <w:ind w:firstLine="709"/>
        <w:jc w:val="both"/>
        <w:rPr>
          <w:lang w:val="uk-UA"/>
        </w:rPr>
      </w:pPr>
      <w:proofErr w:type="spellStart"/>
      <w:r w:rsidRPr="00EE64DD">
        <w:rPr>
          <w:b/>
          <w:bCs/>
          <w:bdr w:val="none" w:sz="0" w:space="0" w:color="auto" w:frame="1"/>
          <w:lang w:eastAsia="uk-UA"/>
        </w:rPr>
        <w:t>Рентна</w:t>
      </w:r>
      <w:proofErr w:type="spellEnd"/>
      <w:r w:rsidRPr="00EE64DD">
        <w:rPr>
          <w:b/>
          <w:bCs/>
          <w:bdr w:val="none" w:sz="0" w:space="0" w:color="auto" w:frame="1"/>
          <w:lang w:eastAsia="uk-UA"/>
        </w:rPr>
        <w:t xml:space="preserve"> плата за </w:t>
      </w:r>
      <w:proofErr w:type="spellStart"/>
      <w:r w:rsidRPr="00EE64DD">
        <w:rPr>
          <w:b/>
          <w:bCs/>
          <w:bdr w:val="none" w:sz="0" w:space="0" w:color="auto" w:frame="1"/>
          <w:lang w:eastAsia="uk-UA"/>
        </w:rPr>
        <w:t>спеціальне</w:t>
      </w:r>
      <w:proofErr w:type="spellEnd"/>
      <w:r w:rsidRPr="00EE64DD">
        <w:rPr>
          <w:b/>
          <w:bCs/>
          <w:bdr w:val="none" w:sz="0" w:space="0" w:color="auto" w:frame="1"/>
          <w:lang w:eastAsia="uk-UA"/>
        </w:rPr>
        <w:t xml:space="preserve"> </w:t>
      </w:r>
      <w:proofErr w:type="spellStart"/>
      <w:r w:rsidRPr="00EE64DD">
        <w:rPr>
          <w:b/>
          <w:bCs/>
          <w:bdr w:val="none" w:sz="0" w:space="0" w:color="auto" w:frame="1"/>
          <w:lang w:eastAsia="uk-UA"/>
        </w:rPr>
        <w:t>використання</w:t>
      </w:r>
      <w:proofErr w:type="spellEnd"/>
      <w:r w:rsidRPr="00EE64DD">
        <w:rPr>
          <w:b/>
          <w:bCs/>
          <w:bdr w:val="none" w:sz="0" w:space="0" w:color="auto" w:frame="1"/>
          <w:lang w:eastAsia="uk-UA"/>
        </w:rPr>
        <w:t xml:space="preserve"> </w:t>
      </w:r>
      <w:proofErr w:type="spellStart"/>
      <w:r w:rsidRPr="00EE64DD">
        <w:rPr>
          <w:b/>
          <w:bCs/>
          <w:bdr w:val="none" w:sz="0" w:space="0" w:color="auto" w:frame="1"/>
          <w:lang w:eastAsia="uk-UA"/>
        </w:rPr>
        <w:t>лісових</w:t>
      </w:r>
      <w:proofErr w:type="spellEnd"/>
      <w:r w:rsidRPr="00EE64DD">
        <w:rPr>
          <w:b/>
          <w:bCs/>
          <w:bdr w:val="none" w:sz="0" w:space="0" w:color="auto" w:frame="1"/>
          <w:lang w:eastAsia="uk-UA"/>
        </w:rPr>
        <w:t xml:space="preserve"> </w:t>
      </w:r>
      <w:proofErr w:type="spellStart"/>
      <w:r w:rsidRPr="00EE64DD">
        <w:rPr>
          <w:b/>
          <w:bCs/>
          <w:bdr w:val="none" w:sz="0" w:space="0" w:color="auto" w:frame="1"/>
          <w:lang w:eastAsia="uk-UA"/>
        </w:rPr>
        <w:t>ресурсів</w:t>
      </w:r>
      <w:proofErr w:type="spellEnd"/>
      <w:r w:rsidRPr="00EE64DD">
        <w:rPr>
          <w:b/>
          <w:bCs/>
          <w:bdr w:val="none" w:sz="0" w:space="0" w:color="auto" w:frame="1"/>
          <w:lang w:eastAsia="uk-UA"/>
        </w:rPr>
        <w:t> </w:t>
      </w:r>
      <w:r w:rsidRPr="00EE64DD">
        <w:rPr>
          <w:bdr w:val="none" w:sz="0" w:space="0" w:color="auto" w:frame="1"/>
          <w:lang w:eastAsia="uk-UA"/>
        </w:rPr>
        <w:t> (2,2</w:t>
      </w:r>
      <w:r w:rsidRPr="00EE64DD">
        <w:rPr>
          <w:bdr w:val="none" w:sz="0" w:space="0" w:color="auto" w:frame="1"/>
          <w:lang w:val="uk-UA" w:eastAsia="uk-UA"/>
        </w:rPr>
        <w:t xml:space="preserve"> </w:t>
      </w:r>
      <w:r w:rsidRPr="00EE64DD">
        <w:rPr>
          <w:bdr w:val="none" w:sz="0" w:space="0" w:color="auto" w:frame="1"/>
          <w:lang w:eastAsia="uk-UA"/>
        </w:rPr>
        <w:t xml:space="preserve">% </w:t>
      </w:r>
      <w:proofErr w:type="spellStart"/>
      <w:r w:rsidRPr="00EE64DD">
        <w:rPr>
          <w:bdr w:val="none" w:sz="0" w:space="0" w:color="auto" w:frame="1"/>
          <w:lang w:eastAsia="uk-UA"/>
        </w:rPr>
        <w:t>надходжень</w:t>
      </w:r>
      <w:proofErr w:type="spellEnd"/>
      <w:r w:rsidRPr="00EE64DD">
        <w:rPr>
          <w:bdr w:val="none" w:sz="0" w:space="0" w:color="auto" w:frame="1"/>
          <w:lang w:eastAsia="uk-UA"/>
        </w:rPr>
        <w:t xml:space="preserve"> </w:t>
      </w:r>
      <w:proofErr w:type="spellStart"/>
      <w:r w:rsidRPr="00EE64DD">
        <w:rPr>
          <w:bdr w:val="none" w:sz="0" w:space="0" w:color="auto" w:frame="1"/>
          <w:lang w:eastAsia="uk-UA"/>
        </w:rPr>
        <w:t>загального</w:t>
      </w:r>
      <w:proofErr w:type="spellEnd"/>
      <w:r w:rsidRPr="00EE64DD">
        <w:rPr>
          <w:bdr w:val="none" w:sz="0" w:space="0" w:color="auto" w:frame="1"/>
          <w:lang w:eastAsia="uk-UA"/>
        </w:rPr>
        <w:t xml:space="preserve"> фонду) –</w:t>
      </w:r>
      <w:r w:rsidRPr="00EE64DD">
        <w:rPr>
          <w:b/>
          <w:bCs/>
          <w:bdr w:val="none" w:sz="0" w:space="0" w:color="auto" w:frame="1"/>
          <w:lang w:eastAsia="uk-UA"/>
        </w:rPr>
        <w:t> </w:t>
      </w:r>
      <w:r w:rsidRPr="00EE64DD">
        <w:rPr>
          <w:bdr w:val="none" w:sz="0" w:space="0" w:color="auto" w:frame="1"/>
          <w:lang w:val="uk-UA" w:eastAsia="uk-UA"/>
        </w:rPr>
        <w:t>390,4</w:t>
      </w:r>
      <w:r w:rsidRPr="00EE64DD">
        <w:rPr>
          <w:bdr w:val="none" w:sz="0" w:space="0" w:color="auto" w:frame="1"/>
          <w:lang w:eastAsia="uk-UA"/>
        </w:rPr>
        <w:t xml:space="preserve"> тис</w:t>
      </w:r>
      <w:proofErr w:type="gramStart"/>
      <w:r w:rsidRPr="00EE64DD">
        <w:rPr>
          <w:bdr w:val="none" w:sz="0" w:space="0" w:color="auto" w:frame="1"/>
          <w:lang w:eastAsia="uk-UA"/>
        </w:rPr>
        <w:t>.</w:t>
      </w:r>
      <w:proofErr w:type="gramEnd"/>
      <w:r w:rsidRPr="00EE64DD">
        <w:rPr>
          <w:bdr w:val="none" w:sz="0" w:space="0" w:color="auto" w:frame="1"/>
          <w:lang w:eastAsia="uk-UA"/>
        </w:rPr>
        <w:t xml:space="preserve"> </w:t>
      </w:r>
      <w:proofErr w:type="spellStart"/>
      <w:proofErr w:type="gramStart"/>
      <w:r w:rsidRPr="00EE64DD">
        <w:rPr>
          <w:bdr w:val="none" w:sz="0" w:space="0" w:color="auto" w:frame="1"/>
          <w:lang w:eastAsia="uk-UA"/>
        </w:rPr>
        <w:t>г</w:t>
      </w:r>
      <w:proofErr w:type="gramEnd"/>
      <w:r w:rsidRPr="00EE64DD">
        <w:rPr>
          <w:bdr w:val="none" w:sz="0" w:space="0" w:color="auto" w:frame="1"/>
          <w:lang w:eastAsia="uk-UA"/>
        </w:rPr>
        <w:t>рн</w:t>
      </w:r>
      <w:proofErr w:type="spellEnd"/>
      <w:r w:rsidRPr="00EE64DD">
        <w:rPr>
          <w:bdr w:val="none" w:sz="0" w:space="0" w:color="auto" w:frame="1"/>
          <w:lang w:eastAsia="uk-UA"/>
        </w:rPr>
        <w:t xml:space="preserve">. при </w:t>
      </w:r>
      <w:proofErr w:type="spellStart"/>
      <w:r w:rsidRPr="00EE64DD">
        <w:rPr>
          <w:bdr w:val="none" w:sz="0" w:space="0" w:color="auto" w:frame="1"/>
          <w:lang w:eastAsia="uk-UA"/>
        </w:rPr>
        <w:t>планових</w:t>
      </w:r>
      <w:proofErr w:type="spellEnd"/>
      <w:r w:rsidRPr="00EE64DD">
        <w:rPr>
          <w:bdr w:val="none" w:sz="0" w:space="0" w:color="auto" w:frame="1"/>
          <w:lang w:eastAsia="uk-UA"/>
        </w:rPr>
        <w:t xml:space="preserve"> </w:t>
      </w:r>
      <w:proofErr w:type="spellStart"/>
      <w:r w:rsidRPr="00EE64DD">
        <w:rPr>
          <w:bdr w:val="none" w:sz="0" w:space="0" w:color="auto" w:frame="1"/>
          <w:lang w:eastAsia="uk-UA"/>
        </w:rPr>
        <w:t>показниках</w:t>
      </w:r>
      <w:proofErr w:type="spellEnd"/>
      <w:r w:rsidRPr="00EE64DD">
        <w:rPr>
          <w:bdr w:val="none" w:sz="0" w:space="0" w:color="auto" w:frame="1"/>
          <w:lang w:eastAsia="uk-UA"/>
        </w:rPr>
        <w:t xml:space="preserve"> </w:t>
      </w:r>
      <w:r w:rsidRPr="00EE64DD">
        <w:rPr>
          <w:bdr w:val="none" w:sz="0" w:space="0" w:color="auto" w:frame="1"/>
          <w:lang w:val="uk-UA" w:eastAsia="uk-UA"/>
        </w:rPr>
        <w:t>389,3</w:t>
      </w:r>
      <w:r w:rsidRPr="00EE64DD">
        <w:rPr>
          <w:bdr w:val="none" w:sz="0" w:space="0" w:color="auto" w:frame="1"/>
          <w:lang w:eastAsia="uk-UA"/>
        </w:rPr>
        <w:t xml:space="preserve"> тис. </w:t>
      </w:r>
      <w:proofErr w:type="spellStart"/>
      <w:r w:rsidRPr="00EE64DD">
        <w:rPr>
          <w:bdr w:val="none" w:sz="0" w:space="0" w:color="auto" w:frame="1"/>
          <w:lang w:eastAsia="uk-UA"/>
        </w:rPr>
        <w:t>грн</w:t>
      </w:r>
      <w:proofErr w:type="spellEnd"/>
      <w:r w:rsidRPr="00EE64DD">
        <w:rPr>
          <w:bdr w:val="none" w:sz="0" w:space="0" w:color="auto" w:frame="1"/>
          <w:lang w:eastAsia="uk-UA"/>
        </w:rPr>
        <w:t>.</w:t>
      </w:r>
      <w:r w:rsidRPr="00EE64DD">
        <w:rPr>
          <w:lang w:val="uk-UA"/>
        </w:rPr>
        <w:t xml:space="preserve"> Порівняно з відповідним періодом 2022 року рентної плати зменшились на 444,4 тис. грн. або 53,2 відсотки.</w:t>
      </w:r>
    </w:p>
    <w:p w:rsidR="00AA4361" w:rsidRPr="00EE64DD" w:rsidRDefault="00AA4361" w:rsidP="00AA4361">
      <w:pPr>
        <w:shd w:val="clear" w:color="auto" w:fill="FFFFFF"/>
        <w:ind w:firstLine="709"/>
        <w:jc w:val="both"/>
        <w:rPr>
          <w:lang w:val="uk-UA"/>
        </w:rPr>
      </w:pPr>
      <w:r w:rsidRPr="00EE64DD">
        <w:rPr>
          <w:lang w:val="uk-UA"/>
        </w:rPr>
        <w:t>Причиною зменшення надходження до бюджету рентної плати за спеціальне використання лісових ресурсів  в порівнянні з аналогічним періодом минулого року є зменшення рубок на території нашої громади, що теж є наслідком введенням воєнного стану в країні.</w:t>
      </w:r>
    </w:p>
    <w:p w:rsidR="00AA4361" w:rsidRPr="00EE64DD" w:rsidRDefault="00AA4361" w:rsidP="00AA4361">
      <w:pPr>
        <w:ind w:firstLine="709"/>
        <w:jc w:val="both"/>
        <w:rPr>
          <w:lang w:val="uk-UA"/>
        </w:rPr>
      </w:pPr>
    </w:p>
    <w:p w:rsidR="00AA4361" w:rsidRPr="00EE64DD" w:rsidRDefault="00AA4361" w:rsidP="00AA4361">
      <w:pPr>
        <w:pStyle w:val="aa"/>
        <w:tabs>
          <w:tab w:val="left" w:pos="709"/>
          <w:tab w:val="left" w:pos="1134"/>
        </w:tabs>
        <w:spacing w:before="0" w:after="0"/>
        <w:ind w:left="0"/>
        <w:rPr>
          <w:color w:val="000000"/>
          <w:lang w:eastAsia="uk-UA"/>
        </w:rPr>
      </w:pPr>
      <w:r w:rsidRPr="00EE64DD">
        <w:rPr>
          <w:b/>
          <w:color w:val="000000"/>
        </w:rPr>
        <w:t>Неподаткових надходжень</w:t>
      </w:r>
      <w:r w:rsidRPr="00EE64DD">
        <w:rPr>
          <w:color w:val="000000"/>
        </w:rPr>
        <w:t xml:space="preserve"> протягом І кварталу 2023 року до бюджету Верховинської селищної територіальної громади надійшло </w:t>
      </w:r>
      <w:r w:rsidRPr="00EE64DD">
        <w:rPr>
          <w:b/>
          <w:color w:val="000000"/>
        </w:rPr>
        <w:t>410,6 тис. грн</w:t>
      </w:r>
      <w:r w:rsidRPr="00EE64DD">
        <w:rPr>
          <w:color w:val="000000"/>
        </w:rPr>
        <w:t>., або 130,8 відсотків до уточнених показників. В загальній сумі надходжень до загального фонду (без урахування трансфертів)  вони  складають  2,4 відсотки.</w:t>
      </w:r>
    </w:p>
    <w:p w:rsidR="00AA4361" w:rsidRPr="00EE64DD" w:rsidRDefault="00AA4361" w:rsidP="00AA4361">
      <w:pPr>
        <w:ind w:firstLine="709"/>
        <w:jc w:val="both"/>
        <w:rPr>
          <w:lang w:val="uk-UA"/>
        </w:rPr>
      </w:pPr>
    </w:p>
    <w:p w:rsidR="00AA4361" w:rsidRPr="00EE64DD" w:rsidRDefault="00AA4361" w:rsidP="00AA4361">
      <w:pPr>
        <w:ind w:firstLine="709"/>
        <w:jc w:val="both"/>
        <w:rPr>
          <w:lang w:val="uk-UA"/>
        </w:rPr>
      </w:pPr>
      <w:proofErr w:type="spellStart"/>
      <w:r w:rsidRPr="00EE64DD">
        <w:t>Дані</w:t>
      </w:r>
      <w:proofErr w:type="spellEnd"/>
      <w:r w:rsidRPr="00EE64DD">
        <w:t xml:space="preserve"> </w:t>
      </w:r>
      <w:proofErr w:type="spellStart"/>
      <w:r w:rsidRPr="00EE64DD">
        <w:t>надходження</w:t>
      </w:r>
      <w:proofErr w:type="spellEnd"/>
      <w:r w:rsidRPr="00EE64DD">
        <w:t xml:space="preserve"> </w:t>
      </w:r>
      <w:proofErr w:type="spellStart"/>
      <w:r w:rsidRPr="00EE64DD">
        <w:t>носять</w:t>
      </w:r>
      <w:proofErr w:type="spellEnd"/>
      <w:r w:rsidRPr="00EE64DD">
        <w:t xml:space="preserve"> </w:t>
      </w:r>
      <w:proofErr w:type="spellStart"/>
      <w:r w:rsidRPr="00EE64DD">
        <w:t>несистематичний</w:t>
      </w:r>
      <w:proofErr w:type="spellEnd"/>
      <w:r w:rsidRPr="00EE64DD">
        <w:t xml:space="preserve"> характер.</w:t>
      </w:r>
      <w:r w:rsidRPr="00EE64DD">
        <w:rPr>
          <w:lang w:val="uk-UA"/>
        </w:rPr>
        <w:t xml:space="preserve"> В порівнянні з аналогічним періодом минулого року неподаткові надходження збільшилися на 160,5 тис. грн.</w:t>
      </w:r>
      <w:r w:rsidRPr="00EE64DD">
        <w:t xml:space="preserve"> </w:t>
      </w:r>
    </w:p>
    <w:p w:rsidR="00AA4361" w:rsidRPr="00EE64DD" w:rsidRDefault="00AA4361" w:rsidP="00AA4361">
      <w:pPr>
        <w:ind w:firstLine="709"/>
        <w:jc w:val="both"/>
        <w:rPr>
          <w:color w:val="FF0000"/>
          <w:lang w:val="uk-UA"/>
        </w:rPr>
      </w:pPr>
      <w:r w:rsidRPr="00EE64DD">
        <w:t xml:space="preserve">Структуру </w:t>
      </w:r>
      <w:proofErr w:type="spellStart"/>
      <w:r w:rsidRPr="00EE64DD">
        <w:t>неподаткових</w:t>
      </w:r>
      <w:proofErr w:type="spellEnd"/>
      <w:r w:rsidRPr="00EE64DD">
        <w:t xml:space="preserve"> </w:t>
      </w:r>
      <w:proofErr w:type="spellStart"/>
      <w:r w:rsidRPr="00EE64DD">
        <w:t>надходжень</w:t>
      </w:r>
      <w:proofErr w:type="spellEnd"/>
      <w:r w:rsidRPr="00EE64DD">
        <w:rPr>
          <w:lang w:val="uk-UA"/>
        </w:rPr>
        <w:t xml:space="preserve"> за І квартал 2023/2022 років </w:t>
      </w:r>
      <w:r w:rsidRPr="00EE64DD">
        <w:t xml:space="preserve"> </w:t>
      </w:r>
      <w:proofErr w:type="spellStart"/>
      <w:r w:rsidRPr="00EE64DD">
        <w:t>складають</w:t>
      </w:r>
      <w:proofErr w:type="spellEnd"/>
      <w:r w:rsidRPr="00EE64DD">
        <w:rPr>
          <w:lang w:val="uk-UA"/>
        </w:rPr>
        <w:t>:</w:t>
      </w:r>
    </w:p>
    <w:p w:rsidR="00AA4361" w:rsidRPr="00EE64DD" w:rsidRDefault="00AA4361" w:rsidP="00AA4361">
      <w:pPr>
        <w:numPr>
          <w:ilvl w:val="0"/>
          <w:numId w:val="5"/>
        </w:numPr>
        <w:ind w:left="0" w:firstLine="709"/>
        <w:jc w:val="both"/>
      </w:pPr>
      <w:proofErr w:type="spellStart"/>
      <w:r w:rsidRPr="00EE64DD">
        <w:t>адміністративні</w:t>
      </w:r>
      <w:proofErr w:type="spellEnd"/>
      <w:r w:rsidRPr="00EE64DD">
        <w:t xml:space="preserve"> </w:t>
      </w:r>
      <w:proofErr w:type="spellStart"/>
      <w:r w:rsidRPr="00EE64DD">
        <w:t>послуги</w:t>
      </w:r>
      <w:proofErr w:type="spellEnd"/>
      <w:r w:rsidRPr="00EE64DD">
        <w:t xml:space="preserve"> – </w:t>
      </w:r>
      <w:r w:rsidRPr="00EE64DD">
        <w:rPr>
          <w:lang w:val="uk-UA"/>
        </w:rPr>
        <w:t>81,0 відсотки</w:t>
      </w:r>
      <w:r w:rsidRPr="00EE64DD">
        <w:t xml:space="preserve"> </w:t>
      </w:r>
      <w:r w:rsidRPr="00EE64DD">
        <w:rPr>
          <w:lang w:val="uk-UA"/>
        </w:rPr>
        <w:t>(90,9 відсотки);</w:t>
      </w:r>
    </w:p>
    <w:p w:rsidR="00AA4361" w:rsidRPr="00EE64DD" w:rsidRDefault="00AA4361" w:rsidP="00AA4361">
      <w:pPr>
        <w:numPr>
          <w:ilvl w:val="0"/>
          <w:numId w:val="5"/>
        </w:numPr>
        <w:ind w:left="0" w:firstLine="709"/>
        <w:jc w:val="both"/>
      </w:pPr>
      <w:r w:rsidRPr="00EE64DD">
        <w:rPr>
          <w:lang w:val="uk-UA"/>
        </w:rPr>
        <w:t>державне мито – 0,6 відсотки (2,7 відсотки);</w:t>
      </w:r>
    </w:p>
    <w:p w:rsidR="00AA4361" w:rsidRPr="00EE64DD" w:rsidRDefault="00AA4361" w:rsidP="00AA4361">
      <w:pPr>
        <w:numPr>
          <w:ilvl w:val="0"/>
          <w:numId w:val="5"/>
        </w:numPr>
        <w:ind w:left="0" w:firstLine="709"/>
        <w:jc w:val="both"/>
      </w:pPr>
      <w:proofErr w:type="spellStart"/>
      <w:r w:rsidRPr="00EE64DD">
        <w:t>інші</w:t>
      </w:r>
      <w:proofErr w:type="spellEnd"/>
      <w:r w:rsidRPr="00EE64DD">
        <w:t xml:space="preserve"> </w:t>
      </w:r>
      <w:proofErr w:type="spellStart"/>
      <w:r w:rsidRPr="00EE64DD">
        <w:t>неподаткові</w:t>
      </w:r>
      <w:proofErr w:type="spellEnd"/>
      <w:r w:rsidRPr="00EE64DD">
        <w:t xml:space="preserve"> </w:t>
      </w:r>
      <w:proofErr w:type="spellStart"/>
      <w:r w:rsidRPr="00EE64DD">
        <w:t>надходження</w:t>
      </w:r>
      <w:proofErr w:type="spellEnd"/>
      <w:r w:rsidRPr="00EE64DD">
        <w:t xml:space="preserve"> – </w:t>
      </w:r>
      <w:r w:rsidRPr="00EE64DD">
        <w:rPr>
          <w:lang w:val="uk-UA"/>
        </w:rPr>
        <w:t>10,2 відсотки (3,2 відсотки);</w:t>
      </w:r>
    </w:p>
    <w:p w:rsidR="00AA4361" w:rsidRPr="00EE64DD" w:rsidRDefault="00AA4361" w:rsidP="00AA4361">
      <w:pPr>
        <w:numPr>
          <w:ilvl w:val="0"/>
          <w:numId w:val="5"/>
        </w:numPr>
        <w:ind w:left="0" w:firstLine="709"/>
        <w:jc w:val="both"/>
      </w:pPr>
      <w:proofErr w:type="spellStart"/>
      <w:r w:rsidRPr="00EE64DD">
        <w:t>адміністративні</w:t>
      </w:r>
      <w:proofErr w:type="spellEnd"/>
      <w:r w:rsidRPr="00EE64DD">
        <w:t xml:space="preserve"> </w:t>
      </w:r>
      <w:proofErr w:type="spellStart"/>
      <w:r w:rsidRPr="00EE64DD">
        <w:t>штрафи</w:t>
      </w:r>
      <w:proofErr w:type="spellEnd"/>
      <w:r w:rsidRPr="00EE64DD">
        <w:t xml:space="preserve"> та </w:t>
      </w:r>
      <w:proofErr w:type="spellStart"/>
      <w:r w:rsidRPr="00EE64DD">
        <w:t>санкції</w:t>
      </w:r>
      <w:proofErr w:type="spellEnd"/>
      <w:r w:rsidRPr="00EE64DD">
        <w:t xml:space="preserve"> – </w:t>
      </w:r>
      <w:r w:rsidRPr="00EE64DD">
        <w:rPr>
          <w:lang w:val="uk-UA"/>
        </w:rPr>
        <w:t>8,2 відсотки (3,2 відсотки).</w:t>
      </w:r>
    </w:p>
    <w:p w:rsidR="00AA4361" w:rsidRPr="00EE64DD" w:rsidRDefault="00AA4361" w:rsidP="00AA4361">
      <w:pPr>
        <w:tabs>
          <w:tab w:val="left" w:pos="720"/>
        </w:tabs>
        <w:ind w:firstLine="709"/>
        <w:jc w:val="both"/>
        <w:rPr>
          <w:color w:val="FF0000"/>
          <w:lang w:val="uk-UA"/>
        </w:rPr>
      </w:pPr>
      <w:r w:rsidRPr="00EE64DD">
        <w:rPr>
          <w:b/>
          <w:color w:val="FF0000"/>
        </w:rPr>
        <w:t xml:space="preserve">   </w:t>
      </w:r>
    </w:p>
    <w:p w:rsidR="00AA4361" w:rsidRPr="00EE64DD" w:rsidRDefault="00AA4361" w:rsidP="00AA4361">
      <w:pPr>
        <w:ind w:firstLine="709"/>
        <w:jc w:val="both"/>
        <w:rPr>
          <w:lang w:val="uk-UA"/>
        </w:rPr>
      </w:pPr>
      <w:r w:rsidRPr="00EE64DD">
        <w:rPr>
          <w:lang w:val="uk-UA"/>
        </w:rPr>
        <w:t xml:space="preserve">До </w:t>
      </w:r>
      <w:r w:rsidRPr="00EE64DD">
        <w:rPr>
          <w:b/>
          <w:lang w:val="uk-UA"/>
        </w:rPr>
        <w:t>спеціального фонду</w:t>
      </w:r>
      <w:r w:rsidRPr="00EE64DD">
        <w:t xml:space="preserve"> </w:t>
      </w:r>
      <w:proofErr w:type="spellStart"/>
      <w:r w:rsidRPr="00EE64DD">
        <w:t>селищного</w:t>
      </w:r>
      <w:proofErr w:type="spellEnd"/>
      <w:r w:rsidRPr="00EE64DD">
        <w:t xml:space="preserve"> бюджету</w:t>
      </w:r>
      <w:r w:rsidRPr="00EE64DD">
        <w:rPr>
          <w:lang w:val="uk-UA"/>
        </w:rPr>
        <w:t>,</w:t>
      </w:r>
      <w:r w:rsidRPr="00EE64DD">
        <w:t xml:space="preserve"> </w:t>
      </w:r>
      <w:proofErr w:type="spellStart"/>
      <w:r w:rsidRPr="00EE64DD">
        <w:t>з</w:t>
      </w:r>
      <w:proofErr w:type="spellEnd"/>
      <w:r w:rsidRPr="00EE64DD">
        <w:t xml:space="preserve"> </w:t>
      </w:r>
      <w:proofErr w:type="spellStart"/>
      <w:r w:rsidRPr="00EE64DD">
        <w:t>урахуванням</w:t>
      </w:r>
      <w:proofErr w:type="spellEnd"/>
      <w:r w:rsidRPr="00EE64DD">
        <w:t xml:space="preserve"> </w:t>
      </w:r>
      <w:proofErr w:type="spellStart"/>
      <w:r w:rsidRPr="00EE64DD">
        <w:t>офіційних</w:t>
      </w:r>
      <w:proofErr w:type="spellEnd"/>
      <w:r w:rsidRPr="00EE64DD">
        <w:rPr>
          <w:lang w:val="uk-UA"/>
        </w:rPr>
        <w:t xml:space="preserve"> трансфертів, надійшло 1 222,9</w:t>
      </w:r>
      <w:r w:rsidRPr="00EE64DD">
        <w:t xml:space="preserve"> тис.</w:t>
      </w:r>
      <w:r w:rsidRPr="00EE64DD">
        <w:rPr>
          <w:lang w:val="uk-UA"/>
        </w:rPr>
        <w:t xml:space="preserve"> </w:t>
      </w:r>
      <w:proofErr w:type="spellStart"/>
      <w:r w:rsidRPr="00EE64DD">
        <w:t>грн</w:t>
      </w:r>
      <w:proofErr w:type="spellEnd"/>
      <w:r w:rsidRPr="00EE64DD">
        <w:t xml:space="preserve">., </w:t>
      </w:r>
      <w:proofErr w:type="spellStart"/>
      <w:r w:rsidRPr="00EE64DD">
        <w:t>що</w:t>
      </w:r>
      <w:proofErr w:type="spellEnd"/>
      <w:r w:rsidRPr="00EE64DD">
        <w:t xml:space="preserve"> становить </w:t>
      </w:r>
      <w:r w:rsidRPr="00EE64DD">
        <w:rPr>
          <w:lang w:val="uk-UA"/>
        </w:rPr>
        <w:t>100,8</w:t>
      </w:r>
      <w:r w:rsidRPr="00EE64DD">
        <w:t xml:space="preserve"> </w:t>
      </w:r>
      <w:r w:rsidRPr="00EE64DD">
        <w:rPr>
          <w:lang w:val="uk-UA"/>
        </w:rPr>
        <w:t>відсотки до уточненого плану (1 214,0 тис</w:t>
      </w:r>
      <w:proofErr w:type="gramStart"/>
      <w:r w:rsidRPr="00EE64DD">
        <w:rPr>
          <w:lang w:val="uk-UA"/>
        </w:rPr>
        <w:t>.</w:t>
      </w:r>
      <w:proofErr w:type="gramEnd"/>
      <w:r w:rsidRPr="00EE64DD">
        <w:rPr>
          <w:lang w:val="uk-UA"/>
        </w:rPr>
        <w:t xml:space="preserve"> </w:t>
      </w:r>
      <w:proofErr w:type="gramStart"/>
      <w:r w:rsidRPr="00EE64DD">
        <w:rPr>
          <w:lang w:val="uk-UA"/>
        </w:rPr>
        <w:t>г</w:t>
      </w:r>
      <w:proofErr w:type="gramEnd"/>
      <w:r w:rsidRPr="00EE64DD">
        <w:rPr>
          <w:lang w:val="uk-UA"/>
        </w:rPr>
        <w:t>рн.)</w:t>
      </w:r>
    </w:p>
    <w:p w:rsidR="00AA4361" w:rsidRPr="00EE64DD" w:rsidRDefault="00AA4361" w:rsidP="00AA4361">
      <w:pPr>
        <w:ind w:firstLine="709"/>
        <w:jc w:val="both"/>
        <w:rPr>
          <w:lang w:val="uk-UA"/>
        </w:rPr>
      </w:pPr>
      <w:proofErr w:type="spellStart"/>
      <w:r w:rsidRPr="00EE64DD">
        <w:rPr>
          <w:b/>
        </w:rPr>
        <w:t>Екологічного</w:t>
      </w:r>
      <w:proofErr w:type="spellEnd"/>
      <w:r w:rsidRPr="00EE64DD">
        <w:rPr>
          <w:b/>
        </w:rPr>
        <w:t xml:space="preserve"> </w:t>
      </w:r>
      <w:proofErr w:type="spellStart"/>
      <w:r w:rsidRPr="00EE64DD">
        <w:rPr>
          <w:b/>
        </w:rPr>
        <w:t>податку</w:t>
      </w:r>
      <w:proofErr w:type="spellEnd"/>
      <w:r w:rsidRPr="00EE64DD">
        <w:t xml:space="preserve"> </w:t>
      </w:r>
      <w:proofErr w:type="spellStart"/>
      <w:r w:rsidRPr="00EE64DD">
        <w:t>надійшло</w:t>
      </w:r>
      <w:proofErr w:type="spellEnd"/>
      <w:r w:rsidRPr="00EE64DD">
        <w:t xml:space="preserve"> 4</w:t>
      </w:r>
      <w:r w:rsidRPr="00EE64DD">
        <w:rPr>
          <w:lang w:val="uk-UA"/>
        </w:rPr>
        <w:t>,</w:t>
      </w:r>
      <w:r w:rsidRPr="00EE64DD">
        <w:t xml:space="preserve">3 тис. </w:t>
      </w:r>
      <w:proofErr w:type="spellStart"/>
      <w:r w:rsidRPr="00EE64DD">
        <w:t>грн</w:t>
      </w:r>
      <w:proofErr w:type="spellEnd"/>
      <w:r w:rsidRPr="00EE64DD">
        <w:t xml:space="preserve">., </w:t>
      </w:r>
      <w:proofErr w:type="spellStart"/>
      <w:r w:rsidRPr="00EE64DD">
        <w:t>або</w:t>
      </w:r>
      <w:proofErr w:type="spellEnd"/>
      <w:r w:rsidRPr="00EE64DD">
        <w:t xml:space="preserve"> </w:t>
      </w:r>
      <w:r w:rsidRPr="00EE64DD">
        <w:rPr>
          <w:lang w:val="uk-UA"/>
        </w:rPr>
        <w:t>89,6</w:t>
      </w:r>
      <w:r w:rsidRPr="00EE64DD">
        <w:t xml:space="preserve"> </w:t>
      </w:r>
      <w:r w:rsidRPr="00EE64DD">
        <w:rPr>
          <w:lang w:val="uk-UA"/>
        </w:rPr>
        <w:t>відсотки</w:t>
      </w:r>
      <w:r w:rsidRPr="00EE64DD">
        <w:t xml:space="preserve"> до </w:t>
      </w:r>
      <w:proofErr w:type="spellStart"/>
      <w:proofErr w:type="gramStart"/>
      <w:r w:rsidRPr="00EE64DD">
        <w:t>р</w:t>
      </w:r>
      <w:proofErr w:type="gramEnd"/>
      <w:r w:rsidRPr="00EE64DD">
        <w:t>ічного</w:t>
      </w:r>
      <w:proofErr w:type="spellEnd"/>
      <w:r w:rsidRPr="00EE64DD">
        <w:t xml:space="preserve"> плану (</w:t>
      </w:r>
      <w:r w:rsidRPr="00EE64DD">
        <w:rPr>
          <w:lang w:val="uk-UA"/>
        </w:rPr>
        <w:t xml:space="preserve">4,8 </w:t>
      </w:r>
      <w:r w:rsidRPr="00EE64DD">
        <w:t>тис.</w:t>
      </w:r>
      <w:r w:rsidRPr="00EE64DD">
        <w:rPr>
          <w:lang w:val="uk-UA"/>
        </w:rPr>
        <w:t xml:space="preserve"> </w:t>
      </w:r>
      <w:proofErr w:type="spellStart"/>
      <w:r w:rsidRPr="00EE64DD">
        <w:t>грн</w:t>
      </w:r>
      <w:proofErr w:type="spellEnd"/>
      <w:r w:rsidRPr="00EE64DD">
        <w:t>.).</w:t>
      </w:r>
    </w:p>
    <w:p w:rsidR="00AA4361" w:rsidRPr="00EE64DD" w:rsidRDefault="00AA4361" w:rsidP="00AA4361">
      <w:pPr>
        <w:ind w:firstLine="709"/>
        <w:jc w:val="both"/>
        <w:rPr>
          <w:lang w:val="uk-UA"/>
        </w:rPr>
      </w:pPr>
      <w:r w:rsidRPr="00EE64DD">
        <w:rPr>
          <w:b/>
          <w:lang w:val="uk-UA"/>
        </w:rPr>
        <w:t>Інших неподаткових надходжень</w:t>
      </w:r>
      <w:r w:rsidRPr="00EE64DD">
        <w:rPr>
          <w:lang w:val="uk-UA"/>
        </w:rPr>
        <w:t xml:space="preserve"> надійшло 10,3 тис. грн., що більше уточнених  показників на 6,6 тис. грн. </w:t>
      </w:r>
    </w:p>
    <w:p w:rsidR="00AA4361" w:rsidRPr="00EE64DD" w:rsidRDefault="00AA4361" w:rsidP="00AA4361">
      <w:pPr>
        <w:ind w:firstLine="709"/>
        <w:jc w:val="both"/>
        <w:rPr>
          <w:lang w:val="uk-UA"/>
        </w:rPr>
      </w:pPr>
      <w:r w:rsidRPr="00EE64DD">
        <w:rPr>
          <w:b/>
          <w:lang w:val="uk-UA"/>
        </w:rPr>
        <w:t>Власні надходження бюджетних установ</w:t>
      </w:r>
      <w:r w:rsidRPr="00EE64DD">
        <w:rPr>
          <w:lang w:val="uk-UA"/>
        </w:rPr>
        <w:t xml:space="preserve"> спеціального фонду бюджету Верховинської селищної територіальної громади забезпечено в сумі 1 208,3 тис. грн., та в порівнянні з аналогічним періодом минулого року зросли на 392,2 тис. грн.</w:t>
      </w:r>
    </w:p>
    <w:p w:rsidR="00AA4361" w:rsidRPr="00EE64DD" w:rsidRDefault="00AA4361" w:rsidP="00AA4361">
      <w:pPr>
        <w:ind w:firstLine="709"/>
        <w:jc w:val="both"/>
        <w:rPr>
          <w:lang w:val="uk-UA"/>
        </w:rPr>
      </w:pPr>
      <w:r w:rsidRPr="00EE64DD">
        <w:rPr>
          <w:lang w:val="uk-UA"/>
        </w:rPr>
        <w:lastRenderedPageBreak/>
        <w:t xml:space="preserve"> </w:t>
      </w:r>
      <w:r w:rsidRPr="00EE64DD">
        <w:t xml:space="preserve">Структуру </w:t>
      </w:r>
      <w:r w:rsidRPr="00EE64DD">
        <w:rPr>
          <w:lang w:val="uk-UA"/>
        </w:rPr>
        <w:t xml:space="preserve">власних надходжень бюджетних установ за І квартал 2023/2022 років </w:t>
      </w:r>
      <w:r w:rsidRPr="00EE64DD">
        <w:t xml:space="preserve"> </w:t>
      </w:r>
      <w:proofErr w:type="spellStart"/>
      <w:r w:rsidRPr="00EE64DD">
        <w:t>складають</w:t>
      </w:r>
      <w:proofErr w:type="spellEnd"/>
      <w:r w:rsidRPr="00EE64DD">
        <w:rPr>
          <w:lang w:val="uk-UA"/>
        </w:rPr>
        <w:t>:</w:t>
      </w:r>
    </w:p>
    <w:p w:rsidR="00AA4361" w:rsidRPr="00EE64DD" w:rsidRDefault="00AA4361" w:rsidP="00AA4361">
      <w:pPr>
        <w:numPr>
          <w:ilvl w:val="0"/>
          <w:numId w:val="5"/>
        </w:numPr>
        <w:ind w:left="0" w:firstLine="709"/>
        <w:jc w:val="both"/>
      </w:pPr>
      <w:r w:rsidRPr="00EE64DD">
        <w:rPr>
          <w:lang w:val="uk-UA"/>
        </w:rPr>
        <w:t>благодійні внески, гранти, дарунки (безоплатне надходження продуктів, засобів гігієни, самооподаткування) – 20,3  (9,4) відсотки</w:t>
      </w:r>
      <w:r w:rsidRPr="00EE64DD">
        <w:t>;</w:t>
      </w:r>
    </w:p>
    <w:p w:rsidR="00AA4361" w:rsidRPr="00EE64DD" w:rsidRDefault="00AA4361" w:rsidP="00AA4361">
      <w:pPr>
        <w:numPr>
          <w:ilvl w:val="0"/>
          <w:numId w:val="5"/>
        </w:numPr>
        <w:ind w:left="0" w:firstLine="709"/>
        <w:jc w:val="both"/>
      </w:pPr>
      <w:r w:rsidRPr="00EE64DD">
        <w:rPr>
          <w:lang w:val="uk-UA"/>
        </w:rPr>
        <w:t xml:space="preserve">плата за </w:t>
      </w:r>
      <w:proofErr w:type="spellStart"/>
      <w:r w:rsidRPr="00EE64DD">
        <w:t>послуги</w:t>
      </w:r>
      <w:proofErr w:type="spellEnd"/>
      <w:r w:rsidRPr="00EE64DD">
        <w:rPr>
          <w:lang w:val="uk-UA"/>
        </w:rPr>
        <w:t>, що надаються бюджетними установами згідно з їх основною діяльністю (батьківська плата, плата за довідки,15% від продажу землі)</w:t>
      </w:r>
      <w:r w:rsidRPr="00EE64DD">
        <w:t xml:space="preserve"> – </w:t>
      </w:r>
      <w:r w:rsidRPr="00EE64DD">
        <w:rPr>
          <w:lang w:val="uk-UA"/>
        </w:rPr>
        <w:t>67,0 (75,6) відсотки</w:t>
      </w:r>
      <w:r w:rsidRPr="00EE64DD">
        <w:rPr>
          <w:lang w:val="en-US"/>
        </w:rPr>
        <w:t>;</w:t>
      </w:r>
    </w:p>
    <w:p w:rsidR="00AA4361" w:rsidRPr="00EE64DD" w:rsidRDefault="00AA4361" w:rsidP="00AA4361">
      <w:pPr>
        <w:numPr>
          <w:ilvl w:val="0"/>
          <w:numId w:val="5"/>
        </w:numPr>
        <w:ind w:left="0" w:firstLine="709"/>
        <w:jc w:val="both"/>
      </w:pPr>
      <w:r w:rsidRPr="00EE64DD">
        <w:rPr>
          <w:lang w:val="uk-UA"/>
        </w:rPr>
        <w:t xml:space="preserve">надходження бюджетних установ від підприємств, установ, фізичних осіб (надходження від пенсії у розмірі 75 відсотків, </w:t>
      </w:r>
      <w:proofErr w:type="spellStart"/>
      <w:r w:rsidRPr="00EE64DD">
        <w:rPr>
          <w:lang w:val="uk-UA"/>
        </w:rPr>
        <w:t>перебуваючих</w:t>
      </w:r>
      <w:proofErr w:type="spellEnd"/>
      <w:r w:rsidRPr="00EE64DD">
        <w:rPr>
          <w:lang w:val="uk-UA"/>
        </w:rPr>
        <w:t xml:space="preserve"> у стаціонарі ВТЦ )</w:t>
      </w:r>
      <w:r w:rsidRPr="00EE64DD">
        <w:t xml:space="preserve"> – </w:t>
      </w:r>
      <w:r w:rsidRPr="00EE64DD">
        <w:rPr>
          <w:lang w:val="uk-UA"/>
        </w:rPr>
        <w:t>12,1  (14,3) відсотки</w:t>
      </w:r>
      <w:r w:rsidRPr="00EE64DD">
        <w:t>;</w:t>
      </w:r>
    </w:p>
    <w:p w:rsidR="00AA4361" w:rsidRPr="00EE64DD" w:rsidRDefault="00AA4361" w:rsidP="00AA4361">
      <w:pPr>
        <w:numPr>
          <w:ilvl w:val="0"/>
          <w:numId w:val="5"/>
        </w:numPr>
        <w:ind w:left="0" w:firstLine="709"/>
        <w:jc w:val="both"/>
      </w:pPr>
      <w:r w:rsidRPr="00EE64DD">
        <w:rPr>
          <w:lang w:val="uk-UA"/>
        </w:rPr>
        <w:t xml:space="preserve">плата за оренду майна бюджетних установ </w:t>
      </w:r>
      <w:r w:rsidRPr="00EE64DD">
        <w:t xml:space="preserve">– </w:t>
      </w:r>
      <w:r w:rsidRPr="00EE64DD">
        <w:rPr>
          <w:lang w:val="uk-UA"/>
        </w:rPr>
        <w:t>0,6  (0,7) відсотки.</w:t>
      </w:r>
    </w:p>
    <w:p w:rsidR="00AA4361" w:rsidRPr="00EE64DD" w:rsidRDefault="00AA4361" w:rsidP="00AA4361">
      <w:pPr>
        <w:ind w:left="709"/>
        <w:jc w:val="both"/>
        <w:rPr>
          <w:lang w:val="uk-UA"/>
        </w:rPr>
      </w:pPr>
    </w:p>
    <w:p w:rsidR="00AA4361" w:rsidRPr="00EE64DD" w:rsidRDefault="00AA4361" w:rsidP="00AA4361">
      <w:pPr>
        <w:ind w:firstLine="709"/>
        <w:jc w:val="both"/>
        <w:rPr>
          <w:lang w:val="uk-UA"/>
        </w:rPr>
      </w:pPr>
      <w:r w:rsidRPr="00EE64DD">
        <w:rPr>
          <w:b/>
          <w:lang w:val="uk-UA"/>
        </w:rPr>
        <w:t xml:space="preserve">  Всього офіційних трансфертів  </w:t>
      </w:r>
      <w:r w:rsidRPr="00EE64DD">
        <w:rPr>
          <w:lang w:val="uk-UA"/>
        </w:rPr>
        <w:t>до</w:t>
      </w:r>
      <w:r w:rsidRPr="00EE64DD">
        <w:rPr>
          <w:b/>
          <w:lang w:val="uk-UA"/>
        </w:rPr>
        <w:t xml:space="preserve"> </w:t>
      </w:r>
      <w:r w:rsidRPr="00EE64DD">
        <w:rPr>
          <w:lang w:val="uk-UA"/>
        </w:rPr>
        <w:t xml:space="preserve">бюджету Верховинської селищної територіальної громади за І квартал 2023 року  надійшло в сумі 37 681,5 тис. грн. або 87,4 відсотки до уточненого плану. </w:t>
      </w:r>
    </w:p>
    <w:p w:rsidR="00AA4361" w:rsidRPr="00EE64DD" w:rsidRDefault="00AA4361" w:rsidP="00AA4361">
      <w:pPr>
        <w:ind w:firstLine="709"/>
        <w:jc w:val="both"/>
        <w:rPr>
          <w:b/>
          <w:lang w:val="uk-UA"/>
        </w:rPr>
      </w:pPr>
    </w:p>
    <w:p w:rsidR="00AA4361" w:rsidRPr="00EE64DD" w:rsidRDefault="00AA4361" w:rsidP="00AA4361">
      <w:pPr>
        <w:ind w:firstLine="709"/>
        <w:jc w:val="both"/>
        <w:rPr>
          <w:lang w:val="uk-UA"/>
        </w:rPr>
      </w:pPr>
      <w:r w:rsidRPr="00EE64DD">
        <w:t xml:space="preserve">У </w:t>
      </w:r>
      <w:proofErr w:type="spellStart"/>
      <w:r w:rsidRPr="00EE64DD">
        <w:t>повному</w:t>
      </w:r>
      <w:proofErr w:type="spellEnd"/>
      <w:r w:rsidRPr="00EE64DD">
        <w:t xml:space="preserve"> </w:t>
      </w:r>
      <w:proofErr w:type="spellStart"/>
      <w:r w:rsidRPr="00EE64DD">
        <w:t>обсязі</w:t>
      </w:r>
      <w:proofErr w:type="spellEnd"/>
      <w:r w:rsidRPr="00EE64DD">
        <w:t xml:space="preserve"> до плану на </w:t>
      </w:r>
      <w:proofErr w:type="spellStart"/>
      <w:proofErr w:type="gramStart"/>
      <w:r w:rsidRPr="00EE64DD">
        <w:t>р</w:t>
      </w:r>
      <w:proofErr w:type="gramEnd"/>
      <w:r w:rsidRPr="00EE64DD">
        <w:t>ік</w:t>
      </w:r>
      <w:proofErr w:type="spellEnd"/>
      <w:r w:rsidRPr="00EE64DD">
        <w:t xml:space="preserve"> </w:t>
      </w:r>
      <w:proofErr w:type="spellStart"/>
      <w:r w:rsidRPr="00EE64DD">
        <w:t>з</w:t>
      </w:r>
      <w:proofErr w:type="spellEnd"/>
      <w:r w:rsidRPr="00EE64DD">
        <w:t xml:space="preserve"> державного бюджету </w:t>
      </w:r>
      <w:proofErr w:type="spellStart"/>
      <w:r w:rsidRPr="00EE64DD">
        <w:t>отримано</w:t>
      </w:r>
      <w:proofErr w:type="spellEnd"/>
      <w:r w:rsidRPr="00EE64DD">
        <w:rPr>
          <w:lang w:val="uk-UA"/>
        </w:rPr>
        <w:t>:</w:t>
      </w:r>
    </w:p>
    <w:p w:rsidR="00AA4361" w:rsidRPr="00EE64DD" w:rsidRDefault="00AA4361" w:rsidP="00AA4361">
      <w:pPr>
        <w:numPr>
          <w:ilvl w:val="0"/>
          <w:numId w:val="7"/>
        </w:numPr>
        <w:ind w:left="0" w:firstLine="709"/>
        <w:jc w:val="both"/>
      </w:pPr>
      <w:r w:rsidRPr="00EE64DD">
        <w:rPr>
          <w:lang w:val="uk-UA"/>
        </w:rPr>
        <w:t xml:space="preserve">базову дотацію (7 815,3 тис. грн.); </w:t>
      </w:r>
    </w:p>
    <w:p w:rsidR="00AA4361" w:rsidRPr="00EE64DD" w:rsidRDefault="00AA4361" w:rsidP="00AA4361">
      <w:pPr>
        <w:numPr>
          <w:ilvl w:val="0"/>
          <w:numId w:val="7"/>
        </w:numPr>
        <w:ind w:left="0" w:firstLine="709"/>
        <w:jc w:val="both"/>
      </w:pPr>
      <w:r w:rsidRPr="00EE64DD">
        <w:rPr>
          <w:lang w:val="uk-UA"/>
        </w:rPr>
        <w:t xml:space="preserve">освітню субвенцію </w:t>
      </w:r>
      <w:r w:rsidRPr="00EE64DD">
        <w:t>(</w:t>
      </w:r>
      <w:r w:rsidRPr="00EE64DD">
        <w:rPr>
          <w:lang w:val="uk-UA"/>
        </w:rPr>
        <w:t>26 807,9</w:t>
      </w:r>
      <w:r w:rsidRPr="00EE64DD">
        <w:t xml:space="preserve"> тис.</w:t>
      </w:r>
      <w:r w:rsidRPr="00EE64DD">
        <w:rPr>
          <w:lang w:val="uk-UA"/>
        </w:rPr>
        <w:t xml:space="preserve"> </w:t>
      </w:r>
      <w:proofErr w:type="spellStart"/>
      <w:proofErr w:type="gramStart"/>
      <w:r w:rsidRPr="00EE64DD">
        <w:t>грн</w:t>
      </w:r>
      <w:proofErr w:type="spellEnd"/>
      <w:r w:rsidRPr="00EE64DD">
        <w:t>.)</w:t>
      </w:r>
      <w:r w:rsidRPr="00EE64DD">
        <w:rPr>
          <w:lang w:val="uk-UA"/>
        </w:rPr>
        <w:t>;</w:t>
      </w:r>
      <w:proofErr w:type="gramEnd"/>
    </w:p>
    <w:p w:rsidR="00AA4361" w:rsidRPr="00EE64DD" w:rsidRDefault="00AA4361" w:rsidP="00AA4361">
      <w:pPr>
        <w:numPr>
          <w:ilvl w:val="0"/>
          <w:numId w:val="7"/>
        </w:numPr>
        <w:ind w:left="0" w:firstLine="709"/>
        <w:jc w:val="both"/>
      </w:pPr>
      <w:r w:rsidRPr="00EE64DD">
        <w:rPr>
          <w:shd w:val="clear" w:color="auto" w:fill="FFFFFF"/>
          <w:lang w:val="uk-UA"/>
        </w:rPr>
        <w:t>д</w:t>
      </w:r>
      <w:proofErr w:type="spellStart"/>
      <w:r w:rsidRPr="00EE64DD">
        <w:rPr>
          <w:shd w:val="clear" w:color="auto" w:fill="FFFFFF"/>
        </w:rPr>
        <w:t>отаці</w:t>
      </w:r>
      <w:proofErr w:type="spellEnd"/>
      <w:r w:rsidRPr="00EE64DD">
        <w:rPr>
          <w:shd w:val="clear" w:color="auto" w:fill="FFFFFF"/>
          <w:lang w:val="uk-UA"/>
        </w:rPr>
        <w:t>ю</w:t>
      </w:r>
      <w:r w:rsidRPr="00EE64DD">
        <w:rPr>
          <w:shd w:val="clear" w:color="auto" w:fill="FFFFFF"/>
        </w:rPr>
        <w:t xml:space="preserve"> на </w:t>
      </w:r>
      <w:proofErr w:type="spellStart"/>
      <w:r w:rsidRPr="00EE64DD">
        <w:rPr>
          <w:shd w:val="clear" w:color="auto" w:fill="FFFFFF"/>
        </w:rPr>
        <w:t>утримання</w:t>
      </w:r>
      <w:proofErr w:type="spellEnd"/>
      <w:r w:rsidRPr="00EE64DD">
        <w:rPr>
          <w:shd w:val="clear" w:color="auto" w:fill="FFFFFF"/>
        </w:rPr>
        <w:t xml:space="preserve"> </w:t>
      </w:r>
      <w:proofErr w:type="spellStart"/>
      <w:r w:rsidRPr="00EE64DD">
        <w:rPr>
          <w:shd w:val="clear" w:color="auto" w:fill="FFFFFF"/>
        </w:rPr>
        <w:t>закладів</w:t>
      </w:r>
      <w:proofErr w:type="spellEnd"/>
      <w:r w:rsidRPr="00EE64DD">
        <w:rPr>
          <w:shd w:val="clear" w:color="auto" w:fill="FFFFFF"/>
        </w:rPr>
        <w:t xml:space="preserve"> </w:t>
      </w:r>
      <w:proofErr w:type="spellStart"/>
      <w:r w:rsidRPr="00EE64DD">
        <w:rPr>
          <w:shd w:val="clear" w:color="auto" w:fill="FFFFFF"/>
        </w:rPr>
        <w:t>освіти</w:t>
      </w:r>
      <w:proofErr w:type="spellEnd"/>
      <w:r w:rsidRPr="00EE64DD">
        <w:rPr>
          <w:shd w:val="clear" w:color="auto" w:fill="FFFFFF"/>
        </w:rPr>
        <w:t xml:space="preserve"> та </w:t>
      </w:r>
      <w:proofErr w:type="spellStart"/>
      <w:r w:rsidRPr="00EE64DD">
        <w:rPr>
          <w:shd w:val="clear" w:color="auto" w:fill="FFFFFF"/>
        </w:rPr>
        <w:t>охорони</w:t>
      </w:r>
      <w:proofErr w:type="spellEnd"/>
      <w:r w:rsidRPr="00EE64DD">
        <w:rPr>
          <w:shd w:val="clear" w:color="auto" w:fill="FFFFFF"/>
        </w:rPr>
        <w:t xml:space="preserve"> </w:t>
      </w:r>
      <w:proofErr w:type="spellStart"/>
      <w:r w:rsidRPr="00EE64DD">
        <w:rPr>
          <w:shd w:val="clear" w:color="auto" w:fill="FFFFFF"/>
        </w:rPr>
        <w:t>здоров'я</w:t>
      </w:r>
      <w:proofErr w:type="spellEnd"/>
      <w:r w:rsidRPr="00EE64DD">
        <w:rPr>
          <w:shd w:val="clear" w:color="auto" w:fill="FFFFFF"/>
          <w:lang w:val="uk-UA"/>
        </w:rPr>
        <w:t xml:space="preserve"> (542,6               </w:t>
      </w:r>
      <w:proofErr w:type="spellStart"/>
      <w:r w:rsidRPr="00EE64DD">
        <w:rPr>
          <w:shd w:val="clear" w:color="auto" w:fill="FFFFFF"/>
          <w:lang w:val="uk-UA"/>
        </w:rPr>
        <w:t>тис.грн</w:t>
      </w:r>
      <w:proofErr w:type="spellEnd"/>
      <w:r w:rsidRPr="00EE64DD">
        <w:rPr>
          <w:shd w:val="clear" w:color="auto" w:fill="FFFFFF"/>
          <w:lang w:val="uk-UA"/>
        </w:rPr>
        <w:t>)</w:t>
      </w:r>
      <w:r w:rsidRPr="00EE64DD">
        <w:rPr>
          <w:lang w:val="uk-UA"/>
        </w:rPr>
        <w:t>;</w:t>
      </w:r>
    </w:p>
    <w:p w:rsidR="00AA4361" w:rsidRPr="00EE64DD" w:rsidRDefault="00AA4361" w:rsidP="00AA4361">
      <w:pPr>
        <w:numPr>
          <w:ilvl w:val="0"/>
          <w:numId w:val="7"/>
        </w:numPr>
        <w:ind w:left="0" w:firstLine="709"/>
        <w:jc w:val="both"/>
      </w:pPr>
      <w:r w:rsidRPr="00EE64DD">
        <w:rPr>
          <w:shd w:val="clear" w:color="auto" w:fill="FFFFFF"/>
          <w:lang w:val="uk-UA"/>
        </w:rPr>
        <w:t xml:space="preserve">додаткова дотація </w:t>
      </w:r>
      <w:r w:rsidRPr="00EE64DD">
        <w:rPr>
          <w:color w:val="000000"/>
          <w:shd w:val="clear" w:color="auto" w:fill="FFFFFF"/>
        </w:rPr>
        <w:t xml:space="preserve">на </w:t>
      </w:r>
      <w:proofErr w:type="spellStart"/>
      <w:r w:rsidRPr="00EE64DD">
        <w:rPr>
          <w:color w:val="000000"/>
          <w:shd w:val="clear" w:color="auto" w:fill="FFFFFF"/>
        </w:rPr>
        <w:t>здійснення</w:t>
      </w:r>
      <w:proofErr w:type="spellEnd"/>
      <w:r w:rsidRPr="00EE64DD">
        <w:rPr>
          <w:color w:val="000000"/>
          <w:shd w:val="clear" w:color="auto" w:fill="FFFFFF"/>
        </w:rPr>
        <w:t xml:space="preserve"> </w:t>
      </w:r>
      <w:proofErr w:type="spellStart"/>
      <w:r w:rsidRPr="00EE64DD">
        <w:rPr>
          <w:color w:val="000000"/>
          <w:shd w:val="clear" w:color="auto" w:fill="FFFFFF"/>
        </w:rPr>
        <w:t>повноважень</w:t>
      </w:r>
      <w:proofErr w:type="spellEnd"/>
      <w:r w:rsidRPr="00EE64DD">
        <w:rPr>
          <w:color w:val="000000"/>
          <w:shd w:val="clear" w:color="auto" w:fill="FFFFFF"/>
        </w:rPr>
        <w:t xml:space="preserve"> </w:t>
      </w:r>
      <w:proofErr w:type="spellStart"/>
      <w:r w:rsidRPr="00EE64DD">
        <w:rPr>
          <w:color w:val="000000"/>
          <w:shd w:val="clear" w:color="auto" w:fill="FFFFFF"/>
        </w:rPr>
        <w:t>органів</w:t>
      </w:r>
      <w:proofErr w:type="spellEnd"/>
      <w:r w:rsidRPr="00EE64DD">
        <w:rPr>
          <w:color w:val="000000"/>
          <w:shd w:val="clear" w:color="auto" w:fill="FFFFFF"/>
        </w:rPr>
        <w:t xml:space="preserve"> </w:t>
      </w:r>
      <w:proofErr w:type="spellStart"/>
      <w:r w:rsidRPr="00EE64DD">
        <w:rPr>
          <w:color w:val="000000"/>
          <w:shd w:val="clear" w:color="auto" w:fill="FFFFFF"/>
        </w:rPr>
        <w:t>місцевого</w:t>
      </w:r>
      <w:proofErr w:type="spellEnd"/>
      <w:r w:rsidRPr="00EE64DD">
        <w:rPr>
          <w:color w:val="000000"/>
          <w:shd w:val="clear" w:color="auto" w:fill="FFFFFF"/>
        </w:rPr>
        <w:t xml:space="preserve"> </w:t>
      </w:r>
      <w:proofErr w:type="spellStart"/>
      <w:r w:rsidRPr="00EE64DD">
        <w:rPr>
          <w:color w:val="000000"/>
          <w:shd w:val="clear" w:color="auto" w:fill="FFFFFF"/>
        </w:rPr>
        <w:t>самоврядування</w:t>
      </w:r>
      <w:proofErr w:type="spellEnd"/>
      <w:r w:rsidRPr="00EE64DD">
        <w:rPr>
          <w:color w:val="000000"/>
          <w:shd w:val="clear" w:color="auto" w:fill="FFFFFF"/>
        </w:rPr>
        <w:t xml:space="preserve"> на </w:t>
      </w:r>
      <w:proofErr w:type="spellStart"/>
      <w:r w:rsidRPr="00EE64DD">
        <w:rPr>
          <w:color w:val="000000"/>
          <w:shd w:val="clear" w:color="auto" w:fill="FFFFFF"/>
        </w:rPr>
        <w:t>деокупованих</w:t>
      </w:r>
      <w:proofErr w:type="spellEnd"/>
      <w:r w:rsidRPr="00EE64DD">
        <w:rPr>
          <w:color w:val="000000"/>
          <w:shd w:val="clear" w:color="auto" w:fill="FFFFFF"/>
        </w:rPr>
        <w:t xml:space="preserve">, </w:t>
      </w:r>
      <w:proofErr w:type="spellStart"/>
      <w:r w:rsidRPr="00EE64DD">
        <w:rPr>
          <w:color w:val="000000"/>
          <w:shd w:val="clear" w:color="auto" w:fill="FFFFFF"/>
        </w:rPr>
        <w:t>тимчасово</w:t>
      </w:r>
      <w:proofErr w:type="spellEnd"/>
      <w:r w:rsidRPr="00EE64DD">
        <w:rPr>
          <w:color w:val="000000"/>
          <w:shd w:val="clear" w:color="auto" w:fill="FFFFFF"/>
        </w:rPr>
        <w:t xml:space="preserve"> </w:t>
      </w:r>
      <w:proofErr w:type="spellStart"/>
      <w:r w:rsidRPr="00EE64DD">
        <w:rPr>
          <w:color w:val="000000"/>
          <w:shd w:val="clear" w:color="auto" w:fill="FFFFFF"/>
        </w:rPr>
        <w:t>окупованих</w:t>
      </w:r>
      <w:proofErr w:type="spellEnd"/>
      <w:r w:rsidRPr="00EE64DD">
        <w:rPr>
          <w:color w:val="000000"/>
          <w:shd w:val="clear" w:color="auto" w:fill="FFFFFF"/>
        </w:rPr>
        <w:t xml:space="preserve"> та </w:t>
      </w:r>
      <w:proofErr w:type="spellStart"/>
      <w:r w:rsidRPr="00EE64DD">
        <w:rPr>
          <w:color w:val="000000"/>
          <w:shd w:val="clear" w:color="auto" w:fill="FFFFFF"/>
        </w:rPr>
        <w:t>інших</w:t>
      </w:r>
      <w:proofErr w:type="spellEnd"/>
      <w:r w:rsidRPr="00EE64DD">
        <w:rPr>
          <w:color w:val="000000"/>
          <w:shd w:val="clear" w:color="auto" w:fill="FFFFFF"/>
        </w:rPr>
        <w:t xml:space="preserve"> </w:t>
      </w:r>
      <w:proofErr w:type="spellStart"/>
      <w:r w:rsidRPr="00EE64DD">
        <w:rPr>
          <w:color w:val="000000"/>
          <w:shd w:val="clear" w:color="auto" w:fill="FFFFFF"/>
        </w:rPr>
        <w:t>територіях</w:t>
      </w:r>
      <w:proofErr w:type="spellEnd"/>
      <w:r w:rsidRPr="00EE64DD">
        <w:rPr>
          <w:color w:val="000000"/>
          <w:shd w:val="clear" w:color="auto" w:fill="FFFFFF"/>
        </w:rPr>
        <w:t xml:space="preserve"> </w:t>
      </w:r>
      <w:proofErr w:type="spellStart"/>
      <w:r w:rsidRPr="00EE64DD">
        <w:rPr>
          <w:color w:val="000000"/>
          <w:shd w:val="clear" w:color="auto" w:fill="FFFFFF"/>
        </w:rPr>
        <w:t>України</w:t>
      </w:r>
      <w:proofErr w:type="spellEnd"/>
      <w:r w:rsidRPr="00EE64DD">
        <w:rPr>
          <w:color w:val="000000"/>
          <w:shd w:val="clear" w:color="auto" w:fill="FFFFFF"/>
        </w:rPr>
        <w:t xml:space="preserve">, </w:t>
      </w:r>
      <w:proofErr w:type="spellStart"/>
      <w:r w:rsidRPr="00EE64DD">
        <w:rPr>
          <w:color w:val="000000"/>
          <w:shd w:val="clear" w:color="auto" w:fill="FFFFFF"/>
        </w:rPr>
        <w:t>що</w:t>
      </w:r>
      <w:proofErr w:type="spellEnd"/>
      <w:r w:rsidRPr="00EE64DD">
        <w:rPr>
          <w:color w:val="000000"/>
          <w:shd w:val="clear" w:color="auto" w:fill="FFFFFF"/>
        </w:rPr>
        <w:t xml:space="preserve"> </w:t>
      </w:r>
      <w:proofErr w:type="spellStart"/>
      <w:r w:rsidRPr="00EE64DD">
        <w:rPr>
          <w:color w:val="000000"/>
          <w:shd w:val="clear" w:color="auto" w:fill="FFFFFF"/>
        </w:rPr>
        <w:t>зазнали</w:t>
      </w:r>
      <w:proofErr w:type="spellEnd"/>
      <w:r w:rsidRPr="00EE64DD">
        <w:rPr>
          <w:color w:val="000000"/>
          <w:shd w:val="clear" w:color="auto" w:fill="FFFFFF"/>
        </w:rPr>
        <w:t xml:space="preserve"> негативного </w:t>
      </w:r>
      <w:proofErr w:type="spellStart"/>
      <w:r w:rsidRPr="00EE64DD">
        <w:rPr>
          <w:color w:val="000000"/>
          <w:shd w:val="clear" w:color="auto" w:fill="FFFFFF"/>
        </w:rPr>
        <w:t>впливу</w:t>
      </w:r>
      <w:proofErr w:type="spellEnd"/>
      <w:r w:rsidRPr="00EE64DD">
        <w:rPr>
          <w:color w:val="000000"/>
          <w:shd w:val="clear" w:color="auto" w:fill="FFFFFF"/>
        </w:rPr>
        <w:t xml:space="preserve"> у </w:t>
      </w:r>
      <w:proofErr w:type="spellStart"/>
      <w:r w:rsidRPr="00EE64DD">
        <w:rPr>
          <w:color w:val="000000"/>
          <w:shd w:val="clear" w:color="auto" w:fill="FFFFFF"/>
        </w:rPr>
        <w:t>зв'язку</w:t>
      </w:r>
      <w:proofErr w:type="spellEnd"/>
      <w:r w:rsidRPr="00EE64DD">
        <w:rPr>
          <w:color w:val="000000"/>
          <w:shd w:val="clear" w:color="auto" w:fill="FFFFFF"/>
        </w:rPr>
        <w:t xml:space="preserve"> </w:t>
      </w:r>
      <w:proofErr w:type="spellStart"/>
      <w:r w:rsidRPr="00EE64DD">
        <w:rPr>
          <w:color w:val="000000"/>
          <w:shd w:val="clear" w:color="auto" w:fill="FFFFFF"/>
        </w:rPr>
        <w:t>з</w:t>
      </w:r>
      <w:proofErr w:type="spellEnd"/>
      <w:r w:rsidRPr="00EE64DD">
        <w:rPr>
          <w:color w:val="000000"/>
          <w:shd w:val="clear" w:color="auto" w:fill="FFFFFF"/>
        </w:rPr>
        <w:t xml:space="preserve"> </w:t>
      </w:r>
      <w:proofErr w:type="spellStart"/>
      <w:r w:rsidRPr="00EE64DD">
        <w:rPr>
          <w:color w:val="000000"/>
          <w:shd w:val="clear" w:color="auto" w:fill="FFFFFF"/>
        </w:rPr>
        <w:t>повномасштабною</w:t>
      </w:r>
      <w:proofErr w:type="spellEnd"/>
      <w:r w:rsidRPr="00EE64DD">
        <w:rPr>
          <w:color w:val="000000"/>
          <w:shd w:val="clear" w:color="auto" w:fill="FFFFFF"/>
        </w:rPr>
        <w:t xml:space="preserve"> </w:t>
      </w:r>
      <w:proofErr w:type="spellStart"/>
      <w:r w:rsidRPr="00EE64DD">
        <w:rPr>
          <w:color w:val="000000"/>
          <w:shd w:val="clear" w:color="auto" w:fill="FFFFFF"/>
        </w:rPr>
        <w:t>збройною</w:t>
      </w:r>
      <w:proofErr w:type="spellEnd"/>
      <w:r w:rsidRPr="00EE64DD">
        <w:rPr>
          <w:color w:val="000000"/>
          <w:shd w:val="clear" w:color="auto" w:fill="FFFFFF"/>
        </w:rPr>
        <w:t xml:space="preserve"> </w:t>
      </w:r>
      <w:proofErr w:type="spellStart"/>
      <w:r w:rsidRPr="00EE64DD">
        <w:rPr>
          <w:color w:val="000000"/>
          <w:shd w:val="clear" w:color="auto" w:fill="FFFFFF"/>
        </w:rPr>
        <w:t>агресією</w:t>
      </w:r>
      <w:proofErr w:type="spellEnd"/>
      <w:r w:rsidRPr="00EE64DD">
        <w:rPr>
          <w:color w:val="000000"/>
          <w:shd w:val="clear" w:color="auto" w:fill="FFFFFF"/>
        </w:rPr>
        <w:t xml:space="preserve"> </w:t>
      </w:r>
      <w:proofErr w:type="spellStart"/>
      <w:r w:rsidRPr="00EE64DD">
        <w:rPr>
          <w:color w:val="000000"/>
          <w:shd w:val="clear" w:color="auto" w:fill="FFFFFF"/>
        </w:rPr>
        <w:t>Російської</w:t>
      </w:r>
      <w:proofErr w:type="spellEnd"/>
      <w:r w:rsidRPr="00EE64DD">
        <w:rPr>
          <w:color w:val="000000"/>
          <w:shd w:val="clear" w:color="auto" w:fill="FFFFFF"/>
        </w:rPr>
        <w:t xml:space="preserve"> </w:t>
      </w:r>
      <w:proofErr w:type="spellStart"/>
      <w:r w:rsidRPr="00EE64DD">
        <w:rPr>
          <w:color w:val="000000"/>
          <w:shd w:val="clear" w:color="auto" w:fill="FFFFFF"/>
        </w:rPr>
        <w:t>Федерації</w:t>
      </w:r>
      <w:proofErr w:type="spellEnd"/>
      <w:r w:rsidRPr="00EE64DD">
        <w:rPr>
          <w:color w:val="000000"/>
          <w:shd w:val="clear" w:color="auto" w:fill="FFFFFF"/>
          <w:lang w:val="uk-UA"/>
        </w:rPr>
        <w:t xml:space="preserve"> (1497,0 </w:t>
      </w:r>
      <w:proofErr w:type="spellStart"/>
      <w:r w:rsidRPr="00EE64DD">
        <w:rPr>
          <w:color w:val="000000"/>
          <w:shd w:val="clear" w:color="auto" w:fill="FFFFFF"/>
          <w:lang w:val="uk-UA"/>
        </w:rPr>
        <w:t>тис.грн</w:t>
      </w:r>
      <w:proofErr w:type="spellEnd"/>
      <w:r w:rsidRPr="00EE64DD">
        <w:rPr>
          <w:color w:val="000000"/>
          <w:shd w:val="clear" w:color="auto" w:fill="FFFFFF"/>
          <w:lang w:val="uk-UA"/>
        </w:rPr>
        <w:t>.)</w:t>
      </w:r>
      <w:r w:rsidRPr="00EE64DD">
        <w:rPr>
          <w:lang w:val="uk-UA"/>
        </w:rPr>
        <w:t>;</w:t>
      </w:r>
    </w:p>
    <w:p w:rsidR="00AA4361" w:rsidRPr="00EE64DD" w:rsidRDefault="00AA4361" w:rsidP="00AA4361">
      <w:pPr>
        <w:numPr>
          <w:ilvl w:val="0"/>
          <w:numId w:val="7"/>
        </w:numPr>
        <w:ind w:left="0" w:firstLine="709"/>
        <w:jc w:val="both"/>
        <w:rPr>
          <w:lang w:val="uk-UA"/>
        </w:rPr>
      </w:pPr>
      <w:r w:rsidRPr="00EE64DD">
        <w:rPr>
          <w:lang w:val="uk-UA"/>
        </w:rPr>
        <w:t>субвенцію для надання державної підтримки особам з особливими освітніми вадами (98,9 тис. грн.);</w:t>
      </w:r>
    </w:p>
    <w:p w:rsidR="00AA4361" w:rsidRPr="00EE64DD" w:rsidRDefault="00AA4361" w:rsidP="00AA4361">
      <w:pPr>
        <w:numPr>
          <w:ilvl w:val="0"/>
          <w:numId w:val="7"/>
        </w:numPr>
        <w:ind w:left="0" w:firstLine="709"/>
        <w:jc w:val="both"/>
        <w:rPr>
          <w:lang w:val="uk-UA"/>
        </w:rPr>
      </w:pPr>
      <w:r w:rsidRPr="00EE64DD">
        <w:rPr>
          <w:lang w:val="uk-UA"/>
        </w:rPr>
        <w:t>субвенцію для інклюзивно-ресурсного центру (311,0 тис. грн.).</w:t>
      </w:r>
    </w:p>
    <w:p w:rsidR="00AA4361" w:rsidRPr="00EE64DD" w:rsidRDefault="00AA4361" w:rsidP="00AA4361">
      <w:pPr>
        <w:ind w:firstLine="709"/>
        <w:jc w:val="both"/>
      </w:pPr>
    </w:p>
    <w:p w:rsidR="00AA4361" w:rsidRPr="00EE64DD" w:rsidRDefault="00AA4361" w:rsidP="00AA4361">
      <w:pPr>
        <w:ind w:firstLine="709"/>
        <w:jc w:val="both"/>
      </w:pPr>
      <w:proofErr w:type="spellStart"/>
      <w:r w:rsidRPr="00EE64DD">
        <w:t>Надходження</w:t>
      </w:r>
      <w:proofErr w:type="spellEnd"/>
      <w:r w:rsidRPr="00EE64DD">
        <w:rPr>
          <w:b/>
        </w:rPr>
        <w:t xml:space="preserve"> </w:t>
      </w:r>
      <w:r w:rsidRPr="00EE64DD">
        <w:rPr>
          <w:b/>
          <w:lang w:val="uk-UA"/>
        </w:rPr>
        <w:t xml:space="preserve">інших </w:t>
      </w:r>
      <w:proofErr w:type="spellStart"/>
      <w:r w:rsidRPr="00EE64DD">
        <w:rPr>
          <w:b/>
        </w:rPr>
        <w:t>субвенцій</w:t>
      </w:r>
      <w:proofErr w:type="spellEnd"/>
      <w:r w:rsidRPr="00EE64DD">
        <w:rPr>
          <w:b/>
        </w:rPr>
        <w:t xml:space="preserve"> </w:t>
      </w:r>
      <w:proofErr w:type="spellStart"/>
      <w:r w:rsidRPr="00EE64DD">
        <w:rPr>
          <w:b/>
        </w:rPr>
        <w:t>з</w:t>
      </w:r>
      <w:proofErr w:type="spellEnd"/>
      <w:r w:rsidRPr="00EE64DD">
        <w:rPr>
          <w:b/>
        </w:rPr>
        <w:t xml:space="preserve"> </w:t>
      </w:r>
      <w:proofErr w:type="spellStart"/>
      <w:r w:rsidRPr="00EE64DD">
        <w:rPr>
          <w:b/>
        </w:rPr>
        <w:t>місцевих</w:t>
      </w:r>
      <w:proofErr w:type="spellEnd"/>
      <w:r w:rsidRPr="00EE64DD">
        <w:rPr>
          <w:b/>
        </w:rPr>
        <w:t xml:space="preserve"> </w:t>
      </w:r>
      <w:proofErr w:type="spellStart"/>
      <w:r w:rsidRPr="00EE64DD">
        <w:rPr>
          <w:b/>
        </w:rPr>
        <w:t>бюджетів</w:t>
      </w:r>
      <w:proofErr w:type="spellEnd"/>
      <w:r w:rsidRPr="00EE64DD">
        <w:rPr>
          <w:b/>
        </w:rPr>
        <w:t xml:space="preserve"> </w:t>
      </w:r>
      <w:r w:rsidRPr="00EE64DD">
        <w:t xml:space="preserve">до </w:t>
      </w:r>
      <w:proofErr w:type="spellStart"/>
      <w:r w:rsidRPr="00EE64DD">
        <w:t>загального</w:t>
      </w:r>
      <w:proofErr w:type="spellEnd"/>
      <w:r w:rsidRPr="00EE64DD">
        <w:t xml:space="preserve"> та </w:t>
      </w:r>
      <w:proofErr w:type="spellStart"/>
      <w:r w:rsidRPr="00EE64DD">
        <w:t>спеціального</w:t>
      </w:r>
      <w:proofErr w:type="spellEnd"/>
      <w:r w:rsidRPr="00EE64DD">
        <w:t xml:space="preserve"> </w:t>
      </w:r>
      <w:proofErr w:type="spellStart"/>
      <w:r w:rsidRPr="00EE64DD">
        <w:t>фондів</w:t>
      </w:r>
      <w:proofErr w:type="spellEnd"/>
      <w:r w:rsidRPr="00EE64DD">
        <w:t xml:space="preserve"> </w:t>
      </w:r>
      <w:proofErr w:type="spellStart"/>
      <w:r w:rsidRPr="00EE64DD">
        <w:t>селищного</w:t>
      </w:r>
      <w:proofErr w:type="spellEnd"/>
      <w:r w:rsidRPr="00EE64DD">
        <w:t xml:space="preserve"> бюджету </w:t>
      </w:r>
      <w:r w:rsidRPr="00EE64DD">
        <w:rPr>
          <w:i/>
          <w:iCs/>
          <w:color w:val="000000"/>
          <w:spacing w:val="-6"/>
        </w:rPr>
        <w:t xml:space="preserve"> </w:t>
      </w:r>
      <w:r w:rsidRPr="00EE64DD">
        <w:rPr>
          <w:iCs/>
          <w:color w:val="000000"/>
          <w:spacing w:val="-6"/>
          <w:lang w:val="uk-UA"/>
        </w:rPr>
        <w:t>забезпечено  в сумі 608,8</w:t>
      </w:r>
      <w:r w:rsidRPr="00EE64DD">
        <w:t xml:space="preserve"> </w:t>
      </w:r>
      <w:proofErr w:type="spellStart"/>
      <w:r w:rsidRPr="00EE64DD">
        <w:t>тис</w:t>
      </w:r>
      <w:proofErr w:type="gramStart"/>
      <w:r w:rsidRPr="00EE64DD">
        <w:t>.г</w:t>
      </w:r>
      <w:proofErr w:type="gramEnd"/>
      <w:r w:rsidRPr="00EE64DD">
        <w:t>рн</w:t>
      </w:r>
      <w:proofErr w:type="spellEnd"/>
      <w:r w:rsidRPr="00EE64DD">
        <w:t xml:space="preserve">., </w:t>
      </w:r>
      <w:proofErr w:type="spellStart"/>
      <w:r w:rsidRPr="00EE64DD">
        <w:t>або</w:t>
      </w:r>
      <w:proofErr w:type="spellEnd"/>
      <w:r w:rsidRPr="00EE64DD">
        <w:t xml:space="preserve"> </w:t>
      </w:r>
      <w:r w:rsidRPr="00EE64DD">
        <w:rPr>
          <w:lang w:val="uk-UA"/>
        </w:rPr>
        <w:t>32,9</w:t>
      </w:r>
      <w:r w:rsidRPr="00EE64DD">
        <w:t xml:space="preserve"> </w:t>
      </w:r>
      <w:proofErr w:type="spellStart"/>
      <w:r w:rsidRPr="00EE64DD">
        <w:t>відсотки</w:t>
      </w:r>
      <w:proofErr w:type="spellEnd"/>
      <w:r w:rsidRPr="00EE64DD">
        <w:t xml:space="preserve"> до плану </w:t>
      </w:r>
      <w:r w:rsidRPr="00EE64DD">
        <w:rPr>
          <w:lang w:val="uk-UA"/>
        </w:rPr>
        <w:t>за І квартал 2023 року</w:t>
      </w:r>
      <w:r w:rsidRPr="00EE64DD">
        <w:t xml:space="preserve"> </w:t>
      </w:r>
      <w:proofErr w:type="spellStart"/>
      <w:r w:rsidRPr="00EE64DD">
        <w:t>з</w:t>
      </w:r>
      <w:proofErr w:type="spellEnd"/>
      <w:r w:rsidRPr="00EE64DD">
        <w:t xml:space="preserve"> </w:t>
      </w:r>
      <w:proofErr w:type="spellStart"/>
      <w:r w:rsidRPr="00EE64DD">
        <w:t>урахуванням</w:t>
      </w:r>
      <w:proofErr w:type="spellEnd"/>
      <w:r w:rsidRPr="00EE64DD">
        <w:t xml:space="preserve"> </w:t>
      </w:r>
      <w:proofErr w:type="spellStart"/>
      <w:r w:rsidRPr="00EE64DD">
        <w:t>змін</w:t>
      </w:r>
      <w:proofErr w:type="spellEnd"/>
      <w:r w:rsidRPr="00EE64DD">
        <w:t xml:space="preserve"> (</w:t>
      </w:r>
      <w:r w:rsidRPr="00EE64DD">
        <w:rPr>
          <w:lang w:val="uk-UA"/>
        </w:rPr>
        <w:t>1 849,9</w:t>
      </w:r>
      <w:r w:rsidRPr="00EE64DD">
        <w:t xml:space="preserve"> </w:t>
      </w:r>
      <w:proofErr w:type="spellStart"/>
      <w:r w:rsidRPr="00EE64DD">
        <w:t>тис.грн</w:t>
      </w:r>
      <w:proofErr w:type="spellEnd"/>
      <w:r w:rsidRPr="00EE64DD">
        <w:t xml:space="preserve">.). </w:t>
      </w:r>
    </w:p>
    <w:p w:rsidR="00AA4361" w:rsidRPr="00EE64DD" w:rsidRDefault="00AA4361" w:rsidP="00AA4361">
      <w:pPr>
        <w:ind w:firstLine="709"/>
        <w:jc w:val="both"/>
        <w:rPr>
          <w:lang w:val="uk-UA"/>
        </w:rPr>
      </w:pPr>
      <w:r w:rsidRPr="00EE64DD">
        <w:rPr>
          <w:lang w:val="uk-UA"/>
        </w:rPr>
        <w:t>Інші субвенції  отримано з бюджетів:</w:t>
      </w:r>
    </w:p>
    <w:p w:rsidR="00AA4361" w:rsidRPr="00EE64DD" w:rsidRDefault="00AA4361" w:rsidP="00AA4361">
      <w:pPr>
        <w:pStyle w:val="a8"/>
        <w:numPr>
          <w:ilvl w:val="0"/>
          <w:numId w:val="8"/>
        </w:numPr>
        <w:spacing w:after="0" w:line="276" w:lineRule="auto"/>
        <w:jc w:val="both"/>
        <w:rPr>
          <w:rFonts w:ascii="Times New Roman" w:hAnsi="Times New Roman"/>
          <w:sz w:val="24"/>
          <w:szCs w:val="24"/>
        </w:rPr>
      </w:pPr>
      <w:r w:rsidRPr="00EE64DD">
        <w:rPr>
          <w:rFonts w:ascii="Times New Roman" w:hAnsi="Times New Roman"/>
          <w:sz w:val="24"/>
          <w:szCs w:val="24"/>
        </w:rPr>
        <w:t xml:space="preserve">439,5 тис. грн. - обласного бюджету; </w:t>
      </w:r>
    </w:p>
    <w:p w:rsidR="00AA4361" w:rsidRPr="00EE64DD" w:rsidRDefault="00AA4361" w:rsidP="00AA4361">
      <w:pPr>
        <w:pStyle w:val="a8"/>
        <w:numPr>
          <w:ilvl w:val="0"/>
          <w:numId w:val="8"/>
        </w:numPr>
        <w:spacing w:after="0" w:line="276" w:lineRule="auto"/>
        <w:jc w:val="both"/>
        <w:rPr>
          <w:rFonts w:ascii="Times New Roman" w:hAnsi="Times New Roman"/>
          <w:sz w:val="24"/>
          <w:szCs w:val="24"/>
        </w:rPr>
      </w:pPr>
      <w:r w:rsidRPr="00EE64DD">
        <w:rPr>
          <w:rFonts w:ascii="Times New Roman" w:hAnsi="Times New Roman"/>
          <w:sz w:val="24"/>
          <w:szCs w:val="24"/>
        </w:rPr>
        <w:t xml:space="preserve">66,3 тис. грн. - </w:t>
      </w:r>
      <w:proofErr w:type="spellStart"/>
      <w:r w:rsidRPr="00EE64DD">
        <w:rPr>
          <w:rFonts w:ascii="Times New Roman" w:hAnsi="Times New Roman"/>
          <w:sz w:val="24"/>
          <w:szCs w:val="24"/>
        </w:rPr>
        <w:t>Зеленської</w:t>
      </w:r>
      <w:proofErr w:type="spellEnd"/>
      <w:r w:rsidRPr="00EE64DD">
        <w:rPr>
          <w:rFonts w:ascii="Times New Roman" w:hAnsi="Times New Roman"/>
          <w:sz w:val="24"/>
          <w:szCs w:val="24"/>
        </w:rPr>
        <w:t xml:space="preserve"> ТГ; </w:t>
      </w:r>
    </w:p>
    <w:p w:rsidR="00AA4361" w:rsidRPr="00EE64DD" w:rsidRDefault="00AA4361" w:rsidP="00AA4361">
      <w:pPr>
        <w:pStyle w:val="a8"/>
        <w:numPr>
          <w:ilvl w:val="0"/>
          <w:numId w:val="8"/>
        </w:numPr>
        <w:spacing w:after="0" w:line="276" w:lineRule="auto"/>
        <w:jc w:val="both"/>
        <w:rPr>
          <w:rFonts w:ascii="Times New Roman" w:hAnsi="Times New Roman"/>
          <w:sz w:val="24"/>
          <w:szCs w:val="24"/>
        </w:rPr>
      </w:pPr>
      <w:r w:rsidRPr="00EE64DD">
        <w:rPr>
          <w:rFonts w:ascii="Times New Roman" w:hAnsi="Times New Roman"/>
          <w:sz w:val="24"/>
          <w:szCs w:val="24"/>
        </w:rPr>
        <w:t xml:space="preserve">50,0 тис. грн. - </w:t>
      </w:r>
      <w:proofErr w:type="spellStart"/>
      <w:r w:rsidRPr="00EE64DD">
        <w:rPr>
          <w:rFonts w:ascii="Times New Roman" w:hAnsi="Times New Roman"/>
          <w:sz w:val="24"/>
          <w:szCs w:val="24"/>
        </w:rPr>
        <w:t>Білоберізької</w:t>
      </w:r>
      <w:proofErr w:type="spellEnd"/>
      <w:r w:rsidRPr="00EE64DD">
        <w:rPr>
          <w:rFonts w:ascii="Times New Roman" w:hAnsi="Times New Roman"/>
          <w:sz w:val="24"/>
          <w:szCs w:val="24"/>
        </w:rPr>
        <w:t xml:space="preserve"> ТГ;</w:t>
      </w:r>
      <w:r w:rsidRPr="00EE64DD">
        <w:rPr>
          <w:rFonts w:ascii="Times New Roman" w:hAnsi="Times New Roman"/>
          <w:color w:val="FF0000"/>
          <w:sz w:val="24"/>
          <w:szCs w:val="24"/>
        </w:rPr>
        <w:t xml:space="preserve"> </w:t>
      </w:r>
    </w:p>
    <w:p w:rsidR="00AA4361" w:rsidRPr="00EE64DD" w:rsidRDefault="00AA4361" w:rsidP="00AA4361">
      <w:pPr>
        <w:pStyle w:val="a8"/>
        <w:numPr>
          <w:ilvl w:val="0"/>
          <w:numId w:val="8"/>
        </w:numPr>
        <w:spacing w:after="0" w:line="276" w:lineRule="auto"/>
        <w:jc w:val="both"/>
        <w:rPr>
          <w:rFonts w:ascii="Times New Roman" w:hAnsi="Times New Roman"/>
          <w:sz w:val="24"/>
          <w:szCs w:val="24"/>
        </w:rPr>
      </w:pPr>
      <w:r w:rsidRPr="00EE64DD">
        <w:rPr>
          <w:rFonts w:ascii="Times New Roman" w:hAnsi="Times New Roman"/>
          <w:sz w:val="24"/>
          <w:szCs w:val="24"/>
        </w:rPr>
        <w:t xml:space="preserve">53,0 тис. грн. - </w:t>
      </w:r>
      <w:proofErr w:type="spellStart"/>
      <w:r w:rsidRPr="00EE64DD">
        <w:rPr>
          <w:rFonts w:ascii="Times New Roman" w:hAnsi="Times New Roman"/>
          <w:sz w:val="24"/>
          <w:szCs w:val="24"/>
        </w:rPr>
        <w:t>Надвірнянської</w:t>
      </w:r>
      <w:proofErr w:type="spellEnd"/>
      <w:r w:rsidRPr="00EE64DD">
        <w:rPr>
          <w:rFonts w:ascii="Times New Roman" w:hAnsi="Times New Roman"/>
          <w:sz w:val="24"/>
          <w:szCs w:val="24"/>
        </w:rPr>
        <w:t xml:space="preserve"> ТГ.</w:t>
      </w:r>
      <w:r w:rsidRPr="00EE64DD">
        <w:rPr>
          <w:rFonts w:ascii="Times New Roman" w:hAnsi="Times New Roman"/>
          <w:color w:val="FF0000"/>
          <w:sz w:val="24"/>
          <w:szCs w:val="24"/>
        </w:rPr>
        <w:t xml:space="preserve"> </w:t>
      </w:r>
    </w:p>
    <w:p w:rsidR="00AA4361" w:rsidRPr="00EE64DD" w:rsidRDefault="00AA4361" w:rsidP="00AA4361">
      <w:pPr>
        <w:pStyle w:val="a8"/>
        <w:spacing w:after="0"/>
        <w:ind w:left="0" w:firstLine="709"/>
        <w:jc w:val="both"/>
        <w:rPr>
          <w:rFonts w:ascii="Times New Roman" w:hAnsi="Times New Roman"/>
          <w:sz w:val="24"/>
          <w:szCs w:val="24"/>
        </w:rPr>
      </w:pPr>
      <w:proofErr w:type="spellStart"/>
      <w:r w:rsidRPr="00EE64DD">
        <w:rPr>
          <w:rFonts w:ascii="Times New Roman" w:hAnsi="Times New Roman"/>
          <w:sz w:val="24"/>
          <w:szCs w:val="24"/>
        </w:rPr>
        <w:t>Недоотримано</w:t>
      </w:r>
      <w:proofErr w:type="spellEnd"/>
      <w:r w:rsidRPr="00EE64DD">
        <w:rPr>
          <w:rFonts w:ascii="Times New Roman" w:hAnsi="Times New Roman"/>
          <w:sz w:val="24"/>
          <w:szCs w:val="24"/>
        </w:rPr>
        <w:t xml:space="preserve"> субвенцію з місцевого бюджету на здійснення природоохоронних заходів в сумі 4211,2 тис. грн. в зв’язку з тим, що протягом звітного періоду не здійснювалися роботи по </w:t>
      </w:r>
      <w:proofErr w:type="spellStart"/>
      <w:r w:rsidRPr="00EE64DD">
        <w:rPr>
          <w:rFonts w:ascii="Times New Roman" w:hAnsi="Times New Roman"/>
          <w:sz w:val="24"/>
          <w:szCs w:val="24"/>
        </w:rPr>
        <w:t>берегозакріплюючих</w:t>
      </w:r>
      <w:proofErr w:type="spellEnd"/>
      <w:r w:rsidRPr="00EE64DD">
        <w:rPr>
          <w:rFonts w:ascii="Times New Roman" w:hAnsi="Times New Roman"/>
          <w:sz w:val="24"/>
          <w:szCs w:val="24"/>
        </w:rPr>
        <w:t xml:space="preserve"> спорудах та будівництву каналізаційних мереж.</w:t>
      </w:r>
    </w:p>
    <w:p w:rsidR="00AA4361" w:rsidRPr="00EE64DD" w:rsidRDefault="00AA4361" w:rsidP="00AA4361">
      <w:pPr>
        <w:jc w:val="both"/>
        <w:rPr>
          <w:b/>
          <w:color w:val="FF0000"/>
          <w:lang w:val="uk-UA"/>
        </w:rPr>
      </w:pPr>
    </w:p>
    <w:p w:rsidR="00AA4361" w:rsidRPr="00EE64DD" w:rsidRDefault="00AA4361" w:rsidP="00AA4361">
      <w:pPr>
        <w:ind w:firstLine="709"/>
        <w:jc w:val="both"/>
        <w:rPr>
          <w:b/>
          <w:i/>
          <w:u w:val="single"/>
          <w:lang w:val="uk-UA" w:eastAsia="uk-UA"/>
        </w:rPr>
      </w:pPr>
      <w:r w:rsidRPr="00EE64DD">
        <w:rPr>
          <w:lang w:val="uk-UA"/>
        </w:rPr>
        <w:t xml:space="preserve">Податковий борг станом на 01.04.2023 року складає в сумі </w:t>
      </w:r>
      <w:r w:rsidRPr="00EE64DD">
        <w:t>1 953</w:t>
      </w:r>
      <w:r w:rsidRPr="00EE64DD">
        <w:rPr>
          <w:lang w:val="uk-UA"/>
        </w:rPr>
        <w:t xml:space="preserve">,8  тис. грн. </w:t>
      </w:r>
      <w:r w:rsidRPr="00EE64DD">
        <w:rPr>
          <w:lang w:eastAsia="uk-UA"/>
        </w:rPr>
        <w:t xml:space="preserve">У </w:t>
      </w:r>
      <w:proofErr w:type="spellStart"/>
      <w:r w:rsidRPr="00EE64DD">
        <w:rPr>
          <w:lang w:eastAsia="uk-UA"/>
        </w:rPr>
        <w:t>порівнянні</w:t>
      </w:r>
      <w:proofErr w:type="spellEnd"/>
      <w:r w:rsidRPr="00EE64DD">
        <w:rPr>
          <w:lang w:eastAsia="uk-UA"/>
        </w:rPr>
        <w:t xml:space="preserve"> </w:t>
      </w:r>
      <w:proofErr w:type="spellStart"/>
      <w:r w:rsidRPr="00EE64DD">
        <w:rPr>
          <w:lang w:eastAsia="uk-UA"/>
        </w:rPr>
        <w:t>з</w:t>
      </w:r>
      <w:proofErr w:type="spellEnd"/>
      <w:r w:rsidRPr="00EE64DD">
        <w:rPr>
          <w:lang w:eastAsia="uk-UA"/>
        </w:rPr>
        <w:t xml:space="preserve"> </w:t>
      </w:r>
      <w:proofErr w:type="spellStart"/>
      <w:r w:rsidRPr="00EE64DD">
        <w:rPr>
          <w:lang w:eastAsia="uk-UA"/>
        </w:rPr>
        <w:t>аналогічним</w:t>
      </w:r>
      <w:proofErr w:type="spellEnd"/>
      <w:r w:rsidRPr="00EE64DD">
        <w:rPr>
          <w:lang w:eastAsia="uk-UA"/>
        </w:rPr>
        <w:t xml:space="preserve"> </w:t>
      </w:r>
      <w:proofErr w:type="spellStart"/>
      <w:r w:rsidRPr="00EE64DD">
        <w:rPr>
          <w:lang w:eastAsia="uk-UA"/>
        </w:rPr>
        <w:t>періодом</w:t>
      </w:r>
      <w:proofErr w:type="spellEnd"/>
      <w:r w:rsidRPr="00EE64DD">
        <w:rPr>
          <w:lang w:eastAsia="uk-UA"/>
        </w:rPr>
        <w:t xml:space="preserve"> </w:t>
      </w:r>
      <w:proofErr w:type="spellStart"/>
      <w:r w:rsidRPr="00EE64DD">
        <w:rPr>
          <w:lang w:eastAsia="uk-UA"/>
        </w:rPr>
        <w:t>минулого</w:t>
      </w:r>
      <w:proofErr w:type="spellEnd"/>
      <w:r w:rsidRPr="00EE64DD">
        <w:rPr>
          <w:lang w:eastAsia="uk-UA"/>
        </w:rPr>
        <w:t xml:space="preserve"> року </w:t>
      </w:r>
      <w:r w:rsidRPr="00EE64DD">
        <w:rPr>
          <w:lang w:val="uk-UA" w:eastAsia="uk-UA"/>
        </w:rPr>
        <w:t xml:space="preserve">податковий борг </w:t>
      </w:r>
      <w:r w:rsidRPr="00EE64DD">
        <w:rPr>
          <w:lang w:eastAsia="uk-UA"/>
        </w:rPr>
        <w:t xml:space="preserve"> </w:t>
      </w:r>
      <w:proofErr w:type="spellStart"/>
      <w:r w:rsidRPr="00EE64DD">
        <w:rPr>
          <w:lang w:eastAsia="uk-UA"/>
        </w:rPr>
        <w:t>з</w:t>
      </w:r>
      <w:r w:rsidRPr="00EE64DD">
        <w:rPr>
          <w:lang w:val="uk-UA" w:eastAsia="uk-UA"/>
        </w:rPr>
        <w:t>меншився</w:t>
      </w:r>
      <w:proofErr w:type="spellEnd"/>
      <w:r w:rsidRPr="00EE64DD">
        <w:rPr>
          <w:lang w:val="uk-UA" w:eastAsia="uk-UA"/>
        </w:rPr>
        <w:t xml:space="preserve"> </w:t>
      </w:r>
      <w:r w:rsidRPr="00EE64DD">
        <w:rPr>
          <w:lang w:eastAsia="uk-UA"/>
        </w:rPr>
        <w:t xml:space="preserve"> на суму </w:t>
      </w:r>
      <w:r w:rsidRPr="00EE64DD">
        <w:rPr>
          <w:lang w:val="uk-UA" w:eastAsia="uk-UA"/>
        </w:rPr>
        <w:t>964,8</w:t>
      </w:r>
      <w:r w:rsidRPr="00EE64DD">
        <w:rPr>
          <w:lang w:eastAsia="uk-UA"/>
        </w:rPr>
        <w:t xml:space="preserve"> тис</w:t>
      </w:r>
      <w:proofErr w:type="gramStart"/>
      <w:r w:rsidRPr="00EE64DD">
        <w:rPr>
          <w:lang w:eastAsia="uk-UA"/>
        </w:rPr>
        <w:t>.</w:t>
      </w:r>
      <w:proofErr w:type="gramEnd"/>
      <w:r w:rsidRPr="00EE64DD">
        <w:rPr>
          <w:lang w:eastAsia="uk-UA"/>
        </w:rPr>
        <w:t xml:space="preserve"> </w:t>
      </w:r>
      <w:proofErr w:type="spellStart"/>
      <w:proofErr w:type="gramStart"/>
      <w:r w:rsidRPr="00EE64DD">
        <w:rPr>
          <w:lang w:eastAsia="uk-UA"/>
        </w:rPr>
        <w:t>г</w:t>
      </w:r>
      <w:proofErr w:type="gramEnd"/>
      <w:r w:rsidRPr="00EE64DD">
        <w:rPr>
          <w:lang w:eastAsia="uk-UA"/>
        </w:rPr>
        <w:t>рн</w:t>
      </w:r>
      <w:proofErr w:type="spellEnd"/>
      <w:r w:rsidRPr="00EE64DD">
        <w:rPr>
          <w:lang w:eastAsia="uk-UA"/>
        </w:rPr>
        <w:t>.</w:t>
      </w:r>
      <w:r w:rsidRPr="00EE64DD">
        <w:rPr>
          <w:lang w:val="uk-UA" w:eastAsia="uk-UA"/>
        </w:rPr>
        <w:t xml:space="preserve"> або на 66,9 відсотки що є наслідком активної роботи з боржниками.</w:t>
      </w:r>
    </w:p>
    <w:p w:rsidR="00AA4361" w:rsidRPr="00EE64DD" w:rsidRDefault="00AA4361" w:rsidP="00AA4361">
      <w:pPr>
        <w:ind w:firstLine="709"/>
        <w:jc w:val="both"/>
      </w:pPr>
      <w:proofErr w:type="spellStart"/>
      <w:r w:rsidRPr="00EE64DD">
        <w:t>Найбільшими</w:t>
      </w:r>
      <w:proofErr w:type="spellEnd"/>
      <w:r w:rsidRPr="00EE64DD">
        <w:t xml:space="preserve"> </w:t>
      </w:r>
      <w:proofErr w:type="spellStart"/>
      <w:r w:rsidRPr="00EE64DD">
        <w:t>боржниками</w:t>
      </w:r>
      <w:proofErr w:type="spellEnd"/>
      <w:r w:rsidRPr="00EE64DD">
        <w:t xml:space="preserve"> </w:t>
      </w:r>
      <w:proofErr w:type="spellStart"/>
      <w:r w:rsidRPr="00EE64DD">
        <w:t>є</w:t>
      </w:r>
      <w:proofErr w:type="spellEnd"/>
      <w:r w:rsidRPr="00EE64DD">
        <w:t xml:space="preserve"> </w:t>
      </w:r>
      <w:proofErr w:type="spellStart"/>
      <w:r w:rsidRPr="00EE64DD">
        <w:t>наступні</w:t>
      </w:r>
      <w:proofErr w:type="spellEnd"/>
      <w:r w:rsidRPr="00EE64DD">
        <w:t xml:space="preserve"> </w:t>
      </w:r>
      <w:proofErr w:type="spellStart"/>
      <w:proofErr w:type="gramStart"/>
      <w:r w:rsidRPr="00EE64DD">
        <w:t>п</w:t>
      </w:r>
      <w:proofErr w:type="gramEnd"/>
      <w:r w:rsidRPr="00EE64DD">
        <w:t>ідприємства</w:t>
      </w:r>
      <w:proofErr w:type="spellEnd"/>
      <w:r w:rsidRPr="00EE64DD">
        <w:t>:</w:t>
      </w:r>
    </w:p>
    <w:p w:rsidR="00AA4361" w:rsidRPr="00EE64DD" w:rsidRDefault="00AA4361" w:rsidP="00AA4361">
      <w:pPr>
        <w:pStyle w:val="a8"/>
        <w:numPr>
          <w:ilvl w:val="0"/>
          <w:numId w:val="4"/>
        </w:numPr>
        <w:spacing w:after="0" w:line="240" w:lineRule="auto"/>
        <w:ind w:left="0" w:firstLine="709"/>
        <w:jc w:val="both"/>
        <w:rPr>
          <w:rFonts w:ascii="Times New Roman" w:hAnsi="Times New Roman"/>
          <w:sz w:val="24"/>
          <w:szCs w:val="24"/>
        </w:rPr>
      </w:pPr>
      <w:r w:rsidRPr="00EE64DD">
        <w:rPr>
          <w:rFonts w:ascii="Times New Roman" w:hAnsi="Times New Roman"/>
          <w:sz w:val="24"/>
          <w:szCs w:val="24"/>
        </w:rPr>
        <w:t xml:space="preserve"> Верховинський районний лісгосп   – 1 550,2 тис. грн., що складає 79,3 відсотки до загальної суми боргів, з яких: </w:t>
      </w:r>
      <w:r w:rsidRPr="00EE64DD">
        <w:rPr>
          <w:rFonts w:ascii="Times New Roman" w:hAnsi="Times New Roman"/>
          <w:sz w:val="24"/>
          <w:szCs w:val="24"/>
          <w:bdr w:val="none" w:sz="0" w:space="0" w:color="auto" w:frame="1"/>
        </w:rPr>
        <w:t xml:space="preserve">по податку на доходи фізичних осіб, що сплачується податковими агентами, із доходів платника податку у вигляді заробітної плати </w:t>
      </w:r>
      <w:r w:rsidRPr="00EE64DD">
        <w:rPr>
          <w:rFonts w:ascii="Times New Roman" w:hAnsi="Times New Roman"/>
          <w:sz w:val="24"/>
          <w:szCs w:val="24"/>
        </w:rPr>
        <w:t xml:space="preserve">– 1 154,3 тис. грн., по земельному податку з юридичних осіб – 65,9 тис. </w:t>
      </w:r>
      <w:proofErr w:type="spellStart"/>
      <w:r w:rsidRPr="00EE64DD">
        <w:rPr>
          <w:rFonts w:ascii="Times New Roman" w:hAnsi="Times New Roman"/>
          <w:sz w:val="24"/>
          <w:szCs w:val="24"/>
        </w:rPr>
        <w:t>грн</w:t>
      </w:r>
      <w:proofErr w:type="spellEnd"/>
      <w:r w:rsidRPr="00EE64DD">
        <w:rPr>
          <w:rFonts w:ascii="Times New Roman" w:hAnsi="Times New Roman"/>
          <w:sz w:val="24"/>
          <w:szCs w:val="24"/>
        </w:rPr>
        <w:t>, по орендній платі – 329,9 тис. грн.;</w:t>
      </w:r>
    </w:p>
    <w:p w:rsidR="00AA4361" w:rsidRPr="00EE64DD" w:rsidRDefault="00AA4361" w:rsidP="00AA4361">
      <w:pPr>
        <w:pStyle w:val="a8"/>
        <w:numPr>
          <w:ilvl w:val="0"/>
          <w:numId w:val="4"/>
        </w:numPr>
        <w:spacing w:after="0" w:line="240" w:lineRule="auto"/>
        <w:ind w:left="0" w:firstLine="709"/>
        <w:jc w:val="both"/>
        <w:rPr>
          <w:rFonts w:ascii="Times New Roman" w:hAnsi="Times New Roman"/>
          <w:sz w:val="24"/>
          <w:szCs w:val="24"/>
        </w:rPr>
      </w:pPr>
      <w:r w:rsidRPr="00EE64DD">
        <w:rPr>
          <w:rFonts w:ascii="Times New Roman" w:hAnsi="Times New Roman"/>
          <w:sz w:val="24"/>
          <w:szCs w:val="24"/>
        </w:rPr>
        <w:t>Спільне Українсько-Чеське підприємство «Крона» -  302,9 тис. грн., з них: по орендній  платі – 284,0 тис. грн., по податку на нерухоме майно – 19,0 тис. грн.;</w:t>
      </w:r>
    </w:p>
    <w:p w:rsidR="00AA4361" w:rsidRPr="00EE64DD" w:rsidRDefault="00AA4361" w:rsidP="00AA4361">
      <w:pPr>
        <w:pStyle w:val="a8"/>
        <w:numPr>
          <w:ilvl w:val="0"/>
          <w:numId w:val="4"/>
        </w:numPr>
        <w:spacing w:after="0" w:line="240" w:lineRule="auto"/>
        <w:ind w:left="0" w:firstLine="709"/>
        <w:jc w:val="both"/>
        <w:rPr>
          <w:rFonts w:ascii="Times New Roman" w:hAnsi="Times New Roman"/>
          <w:sz w:val="24"/>
          <w:szCs w:val="24"/>
        </w:rPr>
      </w:pPr>
      <w:proofErr w:type="spellStart"/>
      <w:r w:rsidRPr="00EE64DD">
        <w:rPr>
          <w:rFonts w:ascii="Times New Roman" w:hAnsi="Times New Roman"/>
          <w:sz w:val="24"/>
          <w:szCs w:val="24"/>
        </w:rPr>
        <w:lastRenderedPageBreak/>
        <w:t>ТзОВ</w:t>
      </w:r>
      <w:proofErr w:type="spellEnd"/>
      <w:r w:rsidRPr="00EE64DD">
        <w:rPr>
          <w:rFonts w:ascii="Times New Roman" w:hAnsi="Times New Roman"/>
          <w:sz w:val="24"/>
          <w:szCs w:val="24"/>
        </w:rPr>
        <w:t xml:space="preserve"> «</w:t>
      </w:r>
      <w:proofErr w:type="spellStart"/>
      <w:r w:rsidRPr="00EE64DD">
        <w:rPr>
          <w:rFonts w:ascii="Times New Roman" w:hAnsi="Times New Roman"/>
          <w:sz w:val="24"/>
          <w:szCs w:val="24"/>
        </w:rPr>
        <w:t>Карпати-Європалет</w:t>
      </w:r>
      <w:proofErr w:type="spellEnd"/>
      <w:r w:rsidRPr="00EE64DD">
        <w:rPr>
          <w:rFonts w:ascii="Times New Roman" w:hAnsi="Times New Roman"/>
          <w:sz w:val="24"/>
          <w:szCs w:val="24"/>
        </w:rPr>
        <w:t>» - 64,8 тис. грн. по орендній  платі;</w:t>
      </w:r>
    </w:p>
    <w:p w:rsidR="00AA4361" w:rsidRPr="00EE64DD" w:rsidRDefault="00AA4361" w:rsidP="00AA4361">
      <w:pPr>
        <w:pStyle w:val="a8"/>
        <w:numPr>
          <w:ilvl w:val="0"/>
          <w:numId w:val="4"/>
        </w:numPr>
        <w:spacing w:after="0" w:line="240" w:lineRule="auto"/>
        <w:ind w:left="0" w:firstLine="709"/>
        <w:jc w:val="both"/>
        <w:rPr>
          <w:rFonts w:ascii="Times New Roman" w:hAnsi="Times New Roman"/>
          <w:sz w:val="24"/>
          <w:szCs w:val="24"/>
        </w:rPr>
      </w:pPr>
      <w:proofErr w:type="spellStart"/>
      <w:r w:rsidRPr="00EE64DD">
        <w:rPr>
          <w:rFonts w:ascii="Times New Roman" w:hAnsi="Times New Roman"/>
          <w:sz w:val="24"/>
          <w:szCs w:val="24"/>
        </w:rPr>
        <w:t>ТзОВ</w:t>
      </w:r>
      <w:proofErr w:type="spellEnd"/>
      <w:r w:rsidRPr="00EE64DD">
        <w:rPr>
          <w:rFonts w:ascii="Times New Roman" w:hAnsi="Times New Roman"/>
          <w:sz w:val="24"/>
          <w:szCs w:val="24"/>
        </w:rPr>
        <w:t xml:space="preserve"> Верховинського районного комбінату сільського комунального господарства «</w:t>
      </w:r>
      <w:proofErr w:type="spellStart"/>
      <w:r w:rsidRPr="00EE64DD">
        <w:rPr>
          <w:rFonts w:ascii="Times New Roman" w:hAnsi="Times New Roman"/>
          <w:sz w:val="24"/>
          <w:szCs w:val="24"/>
        </w:rPr>
        <w:t>Райсількомунгосп</w:t>
      </w:r>
      <w:proofErr w:type="spellEnd"/>
      <w:r w:rsidRPr="00EE64DD">
        <w:rPr>
          <w:rFonts w:ascii="Times New Roman" w:hAnsi="Times New Roman"/>
          <w:sz w:val="24"/>
          <w:szCs w:val="24"/>
        </w:rPr>
        <w:t>» - 13,6 тис. грн. по орендній платі.</w:t>
      </w:r>
    </w:p>
    <w:p w:rsidR="00AA4361" w:rsidRPr="00EE64DD" w:rsidRDefault="00AA4361" w:rsidP="00AA4361">
      <w:pPr>
        <w:rPr>
          <w:lang w:val="uk-UA"/>
        </w:rPr>
      </w:pPr>
      <w:bookmarkStart w:id="0" w:name="_GoBack"/>
      <w:bookmarkEnd w:id="0"/>
    </w:p>
    <w:p w:rsidR="00AA4361" w:rsidRPr="00EE64DD" w:rsidRDefault="00AA4361" w:rsidP="00AA4361">
      <w:pPr>
        <w:pStyle w:val="a8"/>
        <w:spacing w:after="0" w:line="240" w:lineRule="auto"/>
        <w:ind w:left="0" w:firstLine="709"/>
        <w:jc w:val="center"/>
        <w:rPr>
          <w:rFonts w:ascii="Times New Roman" w:hAnsi="Times New Roman"/>
          <w:b/>
          <w:i/>
          <w:sz w:val="24"/>
          <w:szCs w:val="24"/>
        </w:rPr>
      </w:pPr>
      <w:r w:rsidRPr="00EE64DD">
        <w:rPr>
          <w:rFonts w:ascii="Times New Roman" w:hAnsi="Times New Roman"/>
          <w:b/>
          <w:i/>
          <w:sz w:val="24"/>
          <w:szCs w:val="24"/>
        </w:rPr>
        <w:t>ВИДАТКОВА ЧАСТИНА БЮДЖЕТУ</w:t>
      </w:r>
    </w:p>
    <w:p w:rsidR="00AA4361" w:rsidRPr="00EE64DD" w:rsidRDefault="00AA4361" w:rsidP="00AA4361">
      <w:pPr>
        <w:ind w:firstLine="709"/>
        <w:jc w:val="both"/>
        <w:rPr>
          <w:color w:val="000000"/>
          <w:lang w:val="uk-UA"/>
        </w:rPr>
      </w:pPr>
      <w:r w:rsidRPr="00EE64DD">
        <w:rPr>
          <w:color w:val="000000"/>
          <w:lang w:val="uk-UA"/>
        </w:rPr>
        <w:t>За звітний період видатки бюджету Верховинської територіальної громади склали  5</w:t>
      </w:r>
      <w:r w:rsidRPr="00EE64DD">
        <w:rPr>
          <w:color w:val="000000"/>
        </w:rPr>
        <w:t>9</w:t>
      </w:r>
      <w:r w:rsidRPr="00EE64DD">
        <w:rPr>
          <w:color w:val="000000"/>
          <w:lang w:val="en-US"/>
        </w:rPr>
        <w:t> </w:t>
      </w:r>
      <w:r w:rsidRPr="00EE64DD">
        <w:rPr>
          <w:color w:val="000000"/>
        </w:rPr>
        <w:t>63</w:t>
      </w:r>
      <w:r w:rsidRPr="00EE64DD">
        <w:rPr>
          <w:color w:val="000000"/>
          <w:lang w:val="uk-UA"/>
        </w:rPr>
        <w:t>7,2 тис. грн., з  них видатки загального фонду  - 54 034,6 тис. грн., спеціального – 5 602,6 тис. грн.</w:t>
      </w:r>
    </w:p>
    <w:p w:rsidR="00AA4361" w:rsidRPr="00EE64DD" w:rsidRDefault="00AA4361" w:rsidP="00AA4361">
      <w:pPr>
        <w:ind w:firstLine="900"/>
        <w:jc w:val="both"/>
        <w:rPr>
          <w:lang w:val="uk-UA"/>
        </w:rPr>
      </w:pPr>
      <w:r w:rsidRPr="00EE64DD">
        <w:rPr>
          <w:color w:val="000000"/>
          <w:lang w:val="uk-UA"/>
        </w:rPr>
        <w:t>В сумі асигнувань загального фонду видатки на освіту складають 83,8 відсотки від всього обсягу бюджету, або 45 256,3 тис. грн.,</w:t>
      </w:r>
      <w:r w:rsidRPr="00EE64DD">
        <w:rPr>
          <w:color w:val="FF0000"/>
          <w:lang w:val="uk-UA"/>
        </w:rPr>
        <w:t xml:space="preserve"> </w:t>
      </w:r>
      <w:r w:rsidRPr="00EE64DD">
        <w:rPr>
          <w:color w:val="000000"/>
          <w:lang w:val="uk-UA"/>
        </w:rPr>
        <w:t>органи самоврядування – 7,0 відсотків, або 3 780,3 тис. грн., охорону здоров’я –2,0 відсотки, або 1 097,6 тис. грн., соціальний захист та соціальне забезпечення –2,5 відсотки, або 1 380,1 тис. грн., культуру – 2,3 відсотки, або 1 225,6 тис. грн.,</w:t>
      </w:r>
      <w:r w:rsidRPr="00EE64DD">
        <w:rPr>
          <w:color w:val="FF0000"/>
          <w:lang w:val="uk-UA"/>
        </w:rPr>
        <w:t xml:space="preserve"> </w:t>
      </w:r>
      <w:r w:rsidRPr="00EE64DD">
        <w:rPr>
          <w:lang w:val="uk-UA"/>
        </w:rPr>
        <w:t>інші видатки -  2,4 відсотки, або 1 294,7 тис. грн.</w:t>
      </w:r>
    </w:p>
    <w:p w:rsidR="00AA4361" w:rsidRPr="00EE64DD" w:rsidRDefault="00AA4361" w:rsidP="00AA4361">
      <w:pPr>
        <w:ind w:firstLine="900"/>
        <w:jc w:val="both"/>
        <w:rPr>
          <w:lang w:val="uk-UA"/>
        </w:rPr>
      </w:pPr>
    </w:p>
    <w:p w:rsidR="00AA4361" w:rsidRPr="00EE64DD" w:rsidRDefault="00AA4361" w:rsidP="00AA4361">
      <w:pPr>
        <w:jc w:val="center"/>
        <w:rPr>
          <w:b/>
          <w:lang w:val="uk-UA"/>
        </w:rPr>
      </w:pPr>
      <w:r w:rsidRPr="00EE64DD">
        <w:rPr>
          <w:b/>
          <w:lang w:val="uk-UA"/>
        </w:rPr>
        <w:t>Порівняльний аналіз видатків загального фонду бюджету Верховинської селищної територіальної громади  за І квартал 2022 - 2023 року</w:t>
      </w:r>
    </w:p>
    <w:p w:rsidR="00AA4361" w:rsidRDefault="00AA4361" w:rsidP="00AA4361">
      <w:pPr>
        <w:jc w:val="center"/>
        <w:rPr>
          <w:color w:val="FF0000"/>
          <w:lang w:val="uk-UA"/>
        </w:rPr>
      </w:pPr>
      <w:r w:rsidRPr="00EE64DD">
        <w:rPr>
          <w:lang w:val="uk-UA"/>
        </w:rPr>
        <w:t xml:space="preserve">                                                                                                         тис. грн.</w:t>
      </w:r>
      <w:r w:rsidRPr="00EE64DD">
        <w:rPr>
          <w:color w:val="FF0000"/>
          <w:lang w:val="uk-UA"/>
        </w:rPr>
        <w:t xml:space="preserve"> </w:t>
      </w:r>
    </w:p>
    <w:p w:rsidR="00AA4361" w:rsidRDefault="00AA4361" w:rsidP="00AA4361">
      <w:pPr>
        <w:jc w:val="center"/>
        <w:rPr>
          <w:color w:val="FF0000"/>
          <w:lang w:val="uk-UA"/>
        </w:rPr>
      </w:pPr>
      <w:r>
        <w:rPr>
          <w:noProof/>
          <w:color w:val="FF0000"/>
          <w:lang w:val="uk-UA" w:eastAsia="uk-UA"/>
        </w:rPr>
        <w:drawing>
          <wp:anchor distT="0" distB="0" distL="114300" distR="114300" simplePos="0" relativeHeight="251659264" behindDoc="0" locked="0" layoutInCell="1" allowOverlap="1">
            <wp:simplePos x="0" y="0"/>
            <wp:positionH relativeFrom="column">
              <wp:posOffset>-1647190</wp:posOffset>
            </wp:positionH>
            <wp:positionV relativeFrom="paragraph">
              <wp:posOffset>114300</wp:posOffset>
            </wp:positionV>
            <wp:extent cx="6857365" cy="4157980"/>
            <wp:effectExtent l="0" t="0" r="635" b="0"/>
            <wp:wrapNone/>
            <wp:docPr id="1"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A4361" w:rsidRDefault="00AA4361" w:rsidP="00AA4361">
      <w:pPr>
        <w:jc w:val="center"/>
        <w:rPr>
          <w:color w:val="FF0000"/>
          <w:lang w:val="uk-UA"/>
        </w:rPr>
      </w:pPr>
    </w:p>
    <w:p w:rsidR="00AA4361" w:rsidRPr="00EE64DD" w:rsidRDefault="00AA4361" w:rsidP="00AA4361">
      <w:pPr>
        <w:jc w:val="cente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rPr>
          <w:b/>
          <w:color w:val="FF0000"/>
          <w:lang w:val="uk-UA"/>
        </w:rPr>
      </w:pPr>
    </w:p>
    <w:p w:rsidR="00AA4361" w:rsidRPr="00EE64DD"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Default="00AA4361" w:rsidP="00AA4361">
      <w:pPr>
        <w:ind w:firstLine="900"/>
        <w:jc w:val="center"/>
        <w:rPr>
          <w:b/>
          <w:lang w:val="uk-UA"/>
        </w:rPr>
      </w:pPr>
    </w:p>
    <w:p w:rsidR="00AA4361" w:rsidRPr="00EE64DD" w:rsidRDefault="00AA4361" w:rsidP="00AA4361">
      <w:pPr>
        <w:ind w:firstLine="900"/>
        <w:jc w:val="center"/>
        <w:rPr>
          <w:b/>
          <w:lang w:val="uk-UA"/>
        </w:rPr>
      </w:pPr>
      <w:r w:rsidRPr="00EE64DD">
        <w:rPr>
          <w:b/>
          <w:lang w:val="uk-UA"/>
        </w:rPr>
        <w:lastRenderedPageBreak/>
        <w:t xml:space="preserve">Структура  видатків загального фонду бюджету </w:t>
      </w:r>
    </w:p>
    <w:p w:rsidR="00AA4361" w:rsidRPr="00EE64DD" w:rsidRDefault="00AA4361" w:rsidP="00AA4361">
      <w:pPr>
        <w:ind w:firstLine="900"/>
        <w:jc w:val="center"/>
        <w:rPr>
          <w:b/>
          <w:lang w:val="uk-UA"/>
        </w:rPr>
      </w:pPr>
      <w:r w:rsidRPr="00EE64DD">
        <w:rPr>
          <w:b/>
          <w:lang w:val="uk-UA"/>
        </w:rPr>
        <w:t>За І квартал 2023 року.</w:t>
      </w:r>
    </w:p>
    <w:p w:rsidR="00AA4361" w:rsidRPr="00EE64DD" w:rsidRDefault="00AA4361" w:rsidP="00AA4361">
      <w:pPr>
        <w:ind w:firstLine="900"/>
        <w:jc w:val="both"/>
      </w:pPr>
      <w:r w:rsidRPr="00EE64DD">
        <w:rPr>
          <w:color w:val="FF0000"/>
          <w:lang w:val="uk-UA"/>
        </w:rPr>
        <w:t xml:space="preserve">                                                                                                 </w:t>
      </w:r>
      <w:r w:rsidRPr="00EE64DD">
        <w:rPr>
          <w:lang w:val="uk-UA"/>
        </w:rPr>
        <w:t xml:space="preserve">(у відсотках) </w:t>
      </w:r>
      <w:r w:rsidRPr="00EE64DD">
        <w:rPr>
          <w:color w:val="FF0000"/>
          <w:lang w:val="uk-UA"/>
        </w:rPr>
        <w:t xml:space="preserve">                        </w:t>
      </w:r>
      <w:r w:rsidRPr="00EE64DD">
        <w:rPr>
          <w:noProof/>
          <w:lang w:val="uk-UA" w:eastAsia="uk-UA"/>
        </w:rPr>
        <w:drawing>
          <wp:inline distT="0" distB="0" distL="0" distR="0">
            <wp:extent cx="6043295" cy="4110990"/>
            <wp:effectExtent l="0" t="0" r="0" b="0"/>
            <wp:docPr id="6"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EE64DD">
        <w:rPr>
          <w:color w:val="FF0000"/>
          <w:lang w:val="uk-UA"/>
        </w:rPr>
        <w:t xml:space="preserve">    </w:t>
      </w:r>
    </w:p>
    <w:p w:rsidR="00AA4361" w:rsidRPr="00EE64DD" w:rsidRDefault="00AA4361" w:rsidP="00AA4361">
      <w:pPr>
        <w:ind w:firstLine="902"/>
        <w:jc w:val="both"/>
        <w:rPr>
          <w:lang w:val="uk-UA"/>
        </w:rPr>
      </w:pPr>
    </w:p>
    <w:p w:rsidR="00AA4361" w:rsidRPr="00EE64DD" w:rsidRDefault="00AA4361" w:rsidP="00AA4361">
      <w:pPr>
        <w:ind w:firstLine="902"/>
        <w:jc w:val="both"/>
        <w:rPr>
          <w:lang w:val="uk-UA"/>
        </w:rPr>
      </w:pPr>
      <w:r w:rsidRPr="00EE64DD">
        <w:rPr>
          <w:lang w:val="uk-UA"/>
        </w:rPr>
        <w:t>У ході виконання бюджету Верховинської територіальної громади першочергова увага приділялась фінансуванню захищених статей бюджету, зокрема, на заробітну плату працівників бюджетних установ з нарахуваннями із загального фонду використано 47 181,0 тис. грн., на оплату комунальних послуг та енергоносіїв – 4 040,3 тис. грн., на трансферти населенню – 402,6 тис. грн., на оплату медикаментів та перев`язувальних матеріалів – 3,9 тис. грн., на продукти харчування – 262,5 тис. грн. Питома вага захищених статей видатків у загальній сумі склала 96,0 відсотків,  в т.ч. заробітної плати – 87,3 відсотки.</w:t>
      </w:r>
    </w:p>
    <w:p w:rsidR="00AA4361" w:rsidRPr="00EE64DD" w:rsidRDefault="00AA4361" w:rsidP="00AA4361">
      <w:pPr>
        <w:tabs>
          <w:tab w:val="left" w:pos="12178"/>
          <w:tab w:val="left" w:pos="14082"/>
        </w:tabs>
        <w:suppressAutoHyphens/>
        <w:ind w:firstLine="720"/>
        <w:jc w:val="both"/>
        <w:rPr>
          <w:lang w:val="uk-UA"/>
        </w:rPr>
      </w:pPr>
      <w:proofErr w:type="spellStart"/>
      <w:r w:rsidRPr="00EE64DD">
        <w:t>Заборгованість</w:t>
      </w:r>
      <w:proofErr w:type="spellEnd"/>
      <w:r w:rsidRPr="00EE64DD">
        <w:t xml:space="preserve"> </w:t>
      </w:r>
      <w:proofErr w:type="spellStart"/>
      <w:r w:rsidRPr="00EE64DD">
        <w:t>із</w:t>
      </w:r>
      <w:proofErr w:type="spellEnd"/>
      <w:r w:rsidRPr="00EE64DD">
        <w:t xml:space="preserve"> </w:t>
      </w:r>
      <w:proofErr w:type="spellStart"/>
      <w:r w:rsidRPr="00EE64DD">
        <w:t>виплати</w:t>
      </w:r>
      <w:proofErr w:type="spellEnd"/>
      <w:r w:rsidRPr="00EE64DD">
        <w:t xml:space="preserve"> </w:t>
      </w:r>
      <w:proofErr w:type="spellStart"/>
      <w:r w:rsidRPr="00EE64DD">
        <w:t>заробітної</w:t>
      </w:r>
      <w:proofErr w:type="spellEnd"/>
      <w:r w:rsidRPr="00EE64DD">
        <w:t xml:space="preserve"> плати </w:t>
      </w:r>
      <w:proofErr w:type="spellStart"/>
      <w:r w:rsidRPr="00EE64DD">
        <w:t>працівникам</w:t>
      </w:r>
      <w:proofErr w:type="spellEnd"/>
      <w:r w:rsidRPr="00EE64DD">
        <w:t xml:space="preserve"> </w:t>
      </w:r>
      <w:proofErr w:type="spellStart"/>
      <w:r w:rsidRPr="00EE64DD">
        <w:t>бюджетної</w:t>
      </w:r>
      <w:proofErr w:type="spellEnd"/>
      <w:r w:rsidRPr="00EE64DD">
        <w:t xml:space="preserve"> </w:t>
      </w:r>
      <w:proofErr w:type="spellStart"/>
      <w:r w:rsidRPr="00EE64DD">
        <w:t>сфери</w:t>
      </w:r>
      <w:proofErr w:type="spellEnd"/>
      <w:r w:rsidRPr="00EE64DD">
        <w:t xml:space="preserve">  станом на 01 </w:t>
      </w:r>
      <w:r w:rsidRPr="00EE64DD">
        <w:rPr>
          <w:lang w:val="uk-UA"/>
        </w:rPr>
        <w:t>квітня</w:t>
      </w:r>
      <w:r w:rsidRPr="00EE64DD">
        <w:t xml:space="preserve"> 202</w:t>
      </w:r>
      <w:r w:rsidRPr="00EE64DD">
        <w:rPr>
          <w:lang w:val="uk-UA"/>
        </w:rPr>
        <w:t>3</w:t>
      </w:r>
      <w:r w:rsidRPr="00EE64DD">
        <w:t xml:space="preserve"> року </w:t>
      </w:r>
      <w:proofErr w:type="spellStart"/>
      <w:r w:rsidRPr="00EE64DD">
        <w:t>складала</w:t>
      </w:r>
      <w:proofErr w:type="spellEnd"/>
      <w:r w:rsidRPr="00EE64DD">
        <w:t xml:space="preserve"> </w:t>
      </w:r>
      <w:r w:rsidRPr="00EE64DD">
        <w:rPr>
          <w:lang w:val="uk-UA"/>
        </w:rPr>
        <w:t xml:space="preserve">1 376,5 </w:t>
      </w:r>
      <w:r w:rsidRPr="00EE64DD">
        <w:t>тис</w:t>
      </w:r>
      <w:proofErr w:type="gramStart"/>
      <w:r w:rsidRPr="00EE64DD">
        <w:t>.</w:t>
      </w:r>
      <w:proofErr w:type="gramEnd"/>
      <w:r w:rsidRPr="00EE64DD">
        <w:t xml:space="preserve"> </w:t>
      </w:r>
      <w:proofErr w:type="spellStart"/>
      <w:proofErr w:type="gramStart"/>
      <w:r w:rsidRPr="00EE64DD">
        <w:t>г</w:t>
      </w:r>
      <w:proofErr w:type="gramEnd"/>
      <w:r w:rsidRPr="00EE64DD">
        <w:t>рн</w:t>
      </w:r>
      <w:proofErr w:type="spellEnd"/>
      <w:r w:rsidRPr="00EE64DD">
        <w:t xml:space="preserve">., яку погашено </w:t>
      </w:r>
      <w:proofErr w:type="spellStart"/>
      <w:r w:rsidRPr="00EE64DD">
        <w:t>повністю</w:t>
      </w:r>
      <w:proofErr w:type="spellEnd"/>
      <w:r w:rsidRPr="00EE64DD">
        <w:rPr>
          <w:lang w:val="uk-UA"/>
        </w:rPr>
        <w:t>.</w:t>
      </w:r>
    </w:p>
    <w:p w:rsidR="00AA4361" w:rsidRPr="00EE64DD" w:rsidRDefault="00AA4361" w:rsidP="00AA4361">
      <w:pPr>
        <w:ind w:firstLine="708"/>
        <w:jc w:val="both"/>
        <w:rPr>
          <w:lang w:val="uk-UA"/>
        </w:rPr>
      </w:pPr>
      <w:r w:rsidRPr="00EE64DD">
        <w:rPr>
          <w:bCs/>
          <w:lang w:val="uk-UA"/>
        </w:rPr>
        <w:t xml:space="preserve">Фінансове управління селищної ради щомісячно здійснює моніторинг виконання </w:t>
      </w:r>
      <w:r w:rsidRPr="00EE64DD">
        <w:rPr>
          <w:lang w:val="uk-UA"/>
        </w:rPr>
        <w:t xml:space="preserve"> розпорядження від 10.01.2023 року № 3-д «Про заходи  щодо наповнення селищного бюджету, ефективного та раціонального використання бюджетних коштів і посилення  фінансово -  бюджетної дисципліни на 2023 рік». </w:t>
      </w:r>
    </w:p>
    <w:p w:rsidR="00AA4361" w:rsidRPr="00EE64DD" w:rsidRDefault="00AA4361" w:rsidP="00AA4361">
      <w:pPr>
        <w:ind w:firstLine="708"/>
        <w:jc w:val="both"/>
        <w:rPr>
          <w:lang w:val="uk-UA"/>
        </w:rPr>
      </w:pPr>
      <w:r w:rsidRPr="00EE64DD">
        <w:rPr>
          <w:lang w:val="uk-UA"/>
        </w:rPr>
        <w:t xml:space="preserve">На виконання зазначеного розпорядження головними розпорядниками бюджетних коштів розроблено план заходів на суму 14 007,5 тис. грн. У звітному періоді за рахунок проведених заходів вдалось зекономити 2 297,8 </w:t>
      </w:r>
      <w:proofErr w:type="spellStart"/>
      <w:r w:rsidRPr="00EE64DD">
        <w:rPr>
          <w:lang w:val="uk-UA"/>
        </w:rPr>
        <w:t>тис.грн</w:t>
      </w:r>
      <w:proofErr w:type="spellEnd"/>
      <w:r w:rsidRPr="00EE64DD">
        <w:rPr>
          <w:lang w:val="uk-UA"/>
        </w:rPr>
        <w:t xml:space="preserve">. з них: закладами та установами освіти - 954,5 тис. грн.,  установами культури – 719,1 тис. грн., установами соціального захисту та молодіжної політики - 302,1 тис. грн., органами самоврядування – 322,1 тис. грн. </w:t>
      </w:r>
    </w:p>
    <w:p w:rsidR="00AA4361" w:rsidRPr="00EE64DD" w:rsidRDefault="00AA4361" w:rsidP="00AA4361">
      <w:pPr>
        <w:ind w:firstLine="708"/>
        <w:jc w:val="both"/>
        <w:rPr>
          <w:lang w:val="uk-UA"/>
        </w:rPr>
      </w:pPr>
      <w:r w:rsidRPr="00EE64DD">
        <w:t xml:space="preserve">За </w:t>
      </w:r>
      <w:proofErr w:type="spellStart"/>
      <w:r w:rsidRPr="00EE64DD">
        <w:t>рахунок</w:t>
      </w:r>
      <w:proofErr w:type="spellEnd"/>
      <w:r w:rsidRPr="00EE64DD">
        <w:t xml:space="preserve"> </w:t>
      </w:r>
      <w:proofErr w:type="spellStart"/>
      <w:r w:rsidRPr="00EE64DD">
        <w:t>вільного</w:t>
      </w:r>
      <w:proofErr w:type="spellEnd"/>
      <w:r w:rsidRPr="00EE64DD">
        <w:t xml:space="preserve"> </w:t>
      </w:r>
      <w:proofErr w:type="spellStart"/>
      <w:r w:rsidRPr="00EE64DD">
        <w:t>залишку</w:t>
      </w:r>
      <w:proofErr w:type="spellEnd"/>
      <w:r w:rsidRPr="00EE64DD">
        <w:t xml:space="preserve"> </w:t>
      </w:r>
      <w:proofErr w:type="spellStart"/>
      <w:r w:rsidRPr="00EE64DD">
        <w:t>коштів</w:t>
      </w:r>
      <w:proofErr w:type="spellEnd"/>
      <w:r w:rsidRPr="00EE64DD">
        <w:rPr>
          <w:lang w:val="uk-UA"/>
        </w:rPr>
        <w:t>, що склався станом на 01.01.2023 року,</w:t>
      </w:r>
      <w:r w:rsidRPr="00EE64DD">
        <w:t xml:space="preserve"> </w:t>
      </w:r>
      <w:proofErr w:type="spellStart"/>
      <w:r w:rsidRPr="00EE64DD">
        <w:t>додатково</w:t>
      </w:r>
      <w:proofErr w:type="spellEnd"/>
      <w:r w:rsidRPr="00EE64DD">
        <w:t xml:space="preserve"> </w:t>
      </w:r>
      <w:proofErr w:type="spellStart"/>
      <w:r w:rsidRPr="00EE64DD">
        <w:t>спрямовано</w:t>
      </w:r>
      <w:proofErr w:type="spellEnd"/>
      <w:r w:rsidRPr="00EE64DD">
        <w:t xml:space="preserve"> на оплату </w:t>
      </w:r>
      <w:proofErr w:type="spellStart"/>
      <w:r w:rsidRPr="00EE64DD">
        <w:t>праці</w:t>
      </w:r>
      <w:proofErr w:type="spellEnd"/>
      <w:r w:rsidRPr="00EE64DD">
        <w:t xml:space="preserve"> </w:t>
      </w:r>
      <w:proofErr w:type="spellStart"/>
      <w:r w:rsidRPr="00EE64DD">
        <w:t>працівників</w:t>
      </w:r>
      <w:proofErr w:type="spellEnd"/>
      <w:r w:rsidRPr="00EE64DD">
        <w:t xml:space="preserve"> </w:t>
      </w:r>
      <w:proofErr w:type="spellStart"/>
      <w:r w:rsidRPr="00EE64DD">
        <w:t>бюджетних</w:t>
      </w:r>
      <w:proofErr w:type="spellEnd"/>
      <w:r w:rsidRPr="00EE64DD">
        <w:t xml:space="preserve"> </w:t>
      </w:r>
      <w:proofErr w:type="spellStart"/>
      <w:r w:rsidRPr="00EE64DD">
        <w:t>установ</w:t>
      </w:r>
      <w:proofErr w:type="spellEnd"/>
      <w:r w:rsidRPr="00EE64DD">
        <w:t xml:space="preserve"> </w:t>
      </w:r>
      <w:proofErr w:type="spellStart"/>
      <w:r w:rsidRPr="00EE64DD">
        <w:t>кошти</w:t>
      </w:r>
      <w:proofErr w:type="spellEnd"/>
      <w:r w:rsidRPr="00EE64DD">
        <w:t xml:space="preserve"> в </w:t>
      </w:r>
      <w:proofErr w:type="spellStart"/>
      <w:r w:rsidRPr="00EE64DD">
        <w:t>сумі</w:t>
      </w:r>
      <w:proofErr w:type="spellEnd"/>
      <w:r w:rsidRPr="00EE64DD">
        <w:t xml:space="preserve">  </w:t>
      </w:r>
      <w:r w:rsidRPr="00EE64DD">
        <w:rPr>
          <w:lang w:val="uk-UA"/>
        </w:rPr>
        <w:t>820,0</w:t>
      </w:r>
      <w:r w:rsidRPr="00EE64DD">
        <w:t xml:space="preserve"> тис. </w:t>
      </w:r>
      <w:proofErr w:type="spellStart"/>
      <w:r w:rsidRPr="00EE64DD">
        <w:t>грн</w:t>
      </w:r>
      <w:proofErr w:type="spellEnd"/>
      <w:r w:rsidRPr="00EE64DD">
        <w:t>.</w:t>
      </w:r>
      <w:r w:rsidRPr="00EE64DD">
        <w:rPr>
          <w:lang w:val="uk-UA"/>
        </w:rPr>
        <w:t xml:space="preserve">, це складає 76,6 відсотків </w:t>
      </w:r>
      <w:proofErr w:type="gramStart"/>
      <w:r w:rsidRPr="00EE64DD">
        <w:rPr>
          <w:lang w:val="uk-UA"/>
        </w:rPr>
        <w:t>в</w:t>
      </w:r>
      <w:proofErr w:type="gramEnd"/>
      <w:r w:rsidRPr="00EE64DD">
        <w:rPr>
          <w:lang w:val="uk-UA"/>
        </w:rPr>
        <w:t>ід загальної суми залишку.</w:t>
      </w:r>
    </w:p>
    <w:p w:rsidR="00AA4361" w:rsidRPr="00EE64DD" w:rsidRDefault="00AA4361" w:rsidP="00AA4361">
      <w:pPr>
        <w:ind w:firstLine="567"/>
        <w:jc w:val="both"/>
        <w:rPr>
          <w:lang w:val="uk-UA"/>
        </w:rPr>
      </w:pPr>
      <w:r w:rsidRPr="00EE64DD">
        <w:rPr>
          <w:lang w:val="uk-UA"/>
        </w:rPr>
        <w:t xml:space="preserve">Станом на 01.01.2023 року очікувана сума незабезпеченості фінансовим ресурсом на виплату заробітної плати працівникам бюджетних установ селищної територіальної громади становила на 2023 рік в сумі 25 276,5 тис. </w:t>
      </w:r>
      <w:proofErr w:type="spellStart"/>
      <w:r w:rsidRPr="00EE64DD">
        <w:rPr>
          <w:lang w:val="uk-UA"/>
        </w:rPr>
        <w:t>грн</w:t>
      </w:r>
      <w:proofErr w:type="spellEnd"/>
      <w:r w:rsidRPr="00EE64DD">
        <w:rPr>
          <w:lang w:val="uk-UA"/>
        </w:rPr>
        <w:t xml:space="preserve">, або це складало 3,5 місячних фонди оплати праці. </w:t>
      </w:r>
    </w:p>
    <w:p w:rsidR="00AA4361" w:rsidRPr="00EE64DD" w:rsidRDefault="00AA4361" w:rsidP="00AA4361">
      <w:pPr>
        <w:ind w:firstLine="567"/>
        <w:jc w:val="both"/>
        <w:rPr>
          <w:lang w:val="uk-UA"/>
        </w:rPr>
      </w:pPr>
      <w:r w:rsidRPr="00EE64DD">
        <w:rPr>
          <w:lang w:val="uk-UA"/>
        </w:rPr>
        <w:t xml:space="preserve">В першому кварталі поточного року за рахунок виконання зазначених заходів з економії бюджетних коштів, спрямування частини вільного залишку коштів, що склався </w:t>
      </w:r>
      <w:r w:rsidRPr="00EE64DD">
        <w:rPr>
          <w:lang w:val="uk-UA"/>
        </w:rPr>
        <w:lastRenderedPageBreak/>
        <w:t xml:space="preserve">станом на 01.01.2023 року, на виплату заробітної плати, іншої субвенції ( що передається із  бюджетів </w:t>
      </w:r>
      <w:proofErr w:type="spellStart"/>
      <w:r w:rsidRPr="00EE64DD">
        <w:rPr>
          <w:lang w:val="uk-UA"/>
        </w:rPr>
        <w:t>Білоберізської</w:t>
      </w:r>
      <w:proofErr w:type="spellEnd"/>
      <w:r w:rsidRPr="00EE64DD">
        <w:rPr>
          <w:lang w:val="uk-UA"/>
        </w:rPr>
        <w:t xml:space="preserve">, </w:t>
      </w:r>
      <w:proofErr w:type="spellStart"/>
      <w:r w:rsidRPr="00EE64DD">
        <w:rPr>
          <w:lang w:val="uk-UA"/>
        </w:rPr>
        <w:t>Зеленської</w:t>
      </w:r>
      <w:proofErr w:type="spellEnd"/>
      <w:r w:rsidRPr="00EE64DD">
        <w:rPr>
          <w:lang w:val="uk-UA"/>
        </w:rPr>
        <w:t xml:space="preserve"> територіальних громад та </w:t>
      </w:r>
      <w:proofErr w:type="spellStart"/>
      <w:r w:rsidRPr="00EE64DD">
        <w:rPr>
          <w:lang w:val="uk-UA"/>
        </w:rPr>
        <w:t>Надвірнянської</w:t>
      </w:r>
      <w:proofErr w:type="spellEnd"/>
      <w:r w:rsidRPr="00EE64DD">
        <w:rPr>
          <w:lang w:val="uk-UA"/>
        </w:rPr>
        <w:t xml:space="preserve"> міської територіальної громади) та д</w:t>
      </w:r>
      <w:r w:rsidRPr="00EE64DD">
        <w:rPr>
          <w:bCs/>
          <w:shd w:val="clear" w:color="auto" w:fill="FFFFFF"/>
          <w:lang w:val="uk-UA"/>
        </w:rPr>
        <w:t xml:space="preserve">одаткової дотації з державного бюджету місцевим бюджетам на здійснення повноважень органів місцевого самоврядування на </w:t>
      </w:r>
      <w:proofErr w:type="spellStart"/>
      <w:r w:rsidRPr="00EE64DD">
        <w:rPr>
          <w:bCs/>
          <w:shd w:val="clear" w:color="auto" w:fill="FFFFFF"/>
          <w:lang w:val="uk-UA"/>
        </w:rPr>
        <w:t>деокупованих</w:t>
      </w:r>
      <w:proofErr w:type="spellEnd"/>
      <w:r w:rsidRPr="00EE64DD">
        <w:rPr>
          <w:bCs/>
          <w:shd w:val="clear" w:color="auto" w:fill="FFFFFF"/>
          <w:lang w:val="uk-UA"/>
        </w:rPr>
        <w:t xml:space="preserve">, тимчасово окупованих та інших територіях України, що зазнали негативного впливу у зв’язку з повномасштабною збройною агресією </w:t>
      </w:r>
      <w:proofErr w:type="spellStart"/>
      <w:r w:rsidRPr="00EE64DD">
        <w:rPr>
          <w:bCs/>
          <w:shd w:val="clear" w:color="auto" w:fill="FFFFFF"/>
        </w:rPr>
        <w:t>Російської</w:t>
      </w:r>
      <w:proofErr w:type="spellEnd"/>
      <w:r w:rsidRPr="00EE64DD">
        <w:rPr>
          <w:bCs/>
          <w:shd w:val="clear" w:color="auto" w:fill="FFFFFF"/>
        </w:rPr>
        <w:t xml:space="preserve"> </w:t>
      </w:r>
      <w:proofErr w:type="spellStart"/>
      <w:r w:rsidRPr="00EE64DD">
        <w:rPr>
          <w:bCs/>
          <w:shd w:val="clear" w:color="auto" w:fill="FFFFFF"/>
        </w:rPr>
        <w:t>Федерації</w:t>
      </w:r>
      <w:proofErr w:type="spellEnd"/>
      <w:r w:rsidRPr="00EE64DD">
        <w:rPr>
          <w:bCs/>
          <w:shd w:val="clear" w:color="auto" w:fill="FFFFFF"/>
          <w:lang w:val="uk-UA"/>
        </w:rPr>
        <w:t xml:space="preserve">, вдалося зменшити суму незабезпеченості </w:t>
      </w:r>
      <w:r w:rsidRPr="00EE64DD">
        <w:rPr>
          <w:lang w:val="uk-UA"/>
        </w:rPr>
        <w:t>фінансовим ресурсом на виплату заробітної плати</w:t>
      </w:r>
      <w:r w:rsidRPr="00EE64DD">
        <w:rPr>
          <w:bCs/>
          <w:shd w:val="clear" w:color="auto" w:fill="FFFFFF"/>
          <w:lang w:val="uk-UA"/>
        </w:rPr>
        <w:t xml:space="preserve"> на 9 473,9 тис. грн.. В результаті цього очікувана незабезпеченість </w:t>
      </w:r>
      <w:r w:rsidRPr="00EE64DD">
        <w:rPr>
          <w:lang w:val="uk-UA"/>
        </w:rPr>
        <w:t>фінансовим ресурсом на виплату заробітної плати станом на 01.04.2023 року складає 15 802,6 тис. грн., або 2,2 місячних фонди оплати праці.</w:t>
      </w:r>
    </w:p>
    <w:p w:rsidR="00AA4361" w:rsidRPr="00EE64DD" w:rsidRDefault="00AA4361" w:rsidP="00AA4361">
      <w:pPr>
        <w:pStyle w:val="a9"/>
        <w:spacing w:before="0"/>
        <w:ind w:firstLine="0"/>
        <w:jc w:val="both"/>
        <w:rPr>
          <w:rFonts w:ascii="Times New Roman" w:hAnsi="Times New Roman"/>
          <w:sz w:val="24"/>
          <w:szCs w:val="24"/>
        </w:rPr>
      </w:pPr>
      <w:r w:rsidRPr="00EE64DD">
        <w:rPr>
          <w:rFonts w:ascii="Times New Roman" w:hAnsi="Times New Roman"/>
          <w:sz w:val="24"/>
          <w:szCs w:val="24"/>
        </w:rPr>
        <w:t xml:space="preserve">         За рахунок резервного фонду селищного бюджету  на виконання заходів «Цільової програми створення, поновлення та використання місцевого матеріального резерву для запобігання, ліквідації надзвичайних ситуацій техногенного, природного характеру та у період воєнного стану на території Верховинської селищної ради» спрямовано 47,0 тис. грн.</w:t>
      </w:r>
    </w:p>
    <w:p w:rsidR="00AA4361" w:rsidRPr="00EE64DD" w:rsidRDefault="00AA4361" w:rsidP="00AA4361">
      <w:pPr>
        <w:shd w:val="clear" w:color="auto" w:fill="FFFFFF"/>
        <w:tabs>
          <w:tab w:val="left" w:pos="1056"/>
        </w:tabs>
        <w:spacing w:line="317" w:lineRule="exact"/>
        <w:ind w:right="-5"/>
        <w:jc w:val="both"/>
        <w:rPr>
          <w:lang w:val="uk-UA"/>
        </w:rPr>
      </w:pPr>
      <w:r w:rsidRPr="00EE64DD">
        <w:t xml:space="preserve">          </w:t>
      </w:r>
      <w:r w:rsidRPr="00EE64DD">
        <w:rPr>
          <w:lang w:val="uk-UA"/>
        </w:rPr>
        <w:t>Також з</w:t>
      </w:r>
      <w:r w:rsidRPr="00EE64DD">
        <w:t xml:space="preserve"> резервного фонду </w:t>
      </w:r>
      <w:proofErr w:type="spellStart"/>
      <w:r w:rsidRPr="00EE64DD">
        <w:t>селищного</w:t>
      </w:r>
      <w:proofErr w:type="spellEnd"/>
      <w:r w:rsidRPr="00EE64DD">
        <w:t xml:space="preserve"> бюджету </w:t>
      </w:r>
      <w:proofErr w:type="spellStart"/>
      <w:r w:rsidRPr="00EE64DD">
        <w:t>відповідно</w:t>
      </w:r>
      <w:proofErr w:type="spellEnd"/>
      <w:r w:rsidRPr="00EE64DD">
        <w:t xml:space="preserve"> до </w:t>
      </w:r>
      <w:proofErr w:type="spellStart"/>
      <w:r w:rsidRPr="00EE64DD">
        <w:t>розпоряджень</w:t>
      </w:r>
      <w:proofErr w:type="spellEnd"/>
      <w:r w:rsidRPr="00EE64DD">
        <w:t xml:space="preserve"> </w:t>
      </w:r>
      <w:proofErr w:type="spellStart"/>
      <w:r w:rsidRPr="00EE64DD">
        <w:t>селищної</w:t>
      </w:r>
      <w:proofErr w:type="spellEnd"/>
      <w:r w:rsidRPr="00EE64DD">
        <w:t xml:space="preserve"> ради в </w:t>
      </w:r>
      <w:proofErr w:type="spellStart"/>
      <w:r w:rsidRPr="00EE64DD">
        <w:t>звітному</w:t>
      </w:r>
      <w:proofErr w:type="spellEnd"/>
      <w:r w:rsidRPr="00EE64DD">
        <w:t xml:space="preserve"> </w:t>
      </w:r>
      <w:proofErr w:type="spellStart"/>
      <w:r w:rsidRPr="00EE64DD">
        <w:t>періоді</w:t>
      </w:r>
      <w:proofErr w:type="spellEnd"/>
      <w:r w:rsidRPr="00EE64DD">
        <w:t xml:space="preserve"> </w:t>
      </w:r>
      <w:r w:rsidRPr="00EE64DD">
        <w:rPr>
          <w:lang w:val="uk-UA"/>
        </w:rPr>
        <w:t>виділено 5</w:t>
      </w:r>
      <w:r w:rsidRPr="00EE64DD">
        <w:t>,0 тис.</w:t>
      </w:r>
      <w:r w:rsidRPr="00EE64DD">
        <w:rPr>
          <w:lang w:val="uk-UA"/>
        </w:rPr>
        <w:t xml:space="preserve"> г</w:t>
      </w:r>
      <w:proofErr w:type="spellStart"/>
      <w:r w:rsidRPr="00EE64DD">
        <w:t>рн</w:t>
      </w:r>
      <w:proofErr w:type="spellEnd"/>
      <w:r w:rsidRPr="00EE64DD">
        <w:rPr>
          <w:lang w:val="uk-UA"/>
        </w:rPr>
        <w:t xml:space="preserve">. на виплату жителям територіальної громади, які постраждали від пожеж. </w:t>
      </w:r>
    </w:p>
    <w:p w:rsidR="00AA4361" w:rsidRPr="00EE64DD" w:rsidRDefault="00AA4361" w:rsidP="00AA4361">
      <w:pPr>
        <w:ind w:firstLine="708"/>
        <w:jc w:val="both"/>
        <w:rPr>
          <w:color w:val="FF0000"/>
          <w:lang w:val="uk-UA"/>
        </w:rPr>
      </w:pPr>
      <w:r w:rsidRPr="00EE64DD">
        <w:rPr>
          <w:color w:val="FF0000"/>
          <w:lang w:val="uk-UA"/>
        </w:rPr>
        <w:tab/>
      </w:r>
    </w:p>
    <w:p w:rsidR="00AA4361" w:rsidRPr="00EE64DD" w:rsidRDefault="00AA4361" w:rsidP="00AA4361">
      <w:pPr>
        <w:ind w:left="7200" w:firstLine="720"/>
        <w:rPr>
          <w:b/>
          <w:color w:val="FF0000"/>
          <w:lang w:val="uk-UA"/>
        </w:rPr>
      </w:pPr>
    </w:p>
    <w:p w:rsidR="00AA4361" w:rsidRPr="00EE64DD" w:rsidRDefault="00AA4361" w:rsidP="00AA4361">
      <w:pPr>
        <w:ind w:left="7200" w:firstLine="720"/>
        <w:rPr>
          <w:b/>
          <w:lang w:val="uk-UA"/>
        </w:rPr>
      </w:pPr>
    </w:p>
    <w:p w:rsidR="00AA4361" w:rsidRPr="00EE64DD" w:rsidRDefault="00AA4361" w:rsidP="00AA4361">
      <w:pPr>
        <w:ind w:left="-142" w:firstLine="142"/>
        <w:rPr>
          <w:b/>
          <w:lang w:val="uk-UA"/>
        </w:rPr>
      </w:pPr>
      <w:r w:rsidRPr="00EE64DD">
        <w:rPr>
          <w:b/>
          <w:lang w:val="uk-UA"/>
        </w:rPr>
        <w:t xml:space="preserve">Заступник начальника </w:t>
      </w:r>
      <w:proofErr w:type="spellStart"/>
      <w:r w:rsidRPr="00EE64DD">
        <w:rPr>
          <w:b/>
          <w:lang w:val="uk-UA"/>
        </w:rPr>
        <w:t>управління-</w:t>
      </w:r>
      <w:proofErr w:type="spellEnd"/>
    </w:p>
    <w:p w:rsidR="00AA4361" w:rsidRPr="00EE64DD" w:rsidRDefault="00AA4361" w:rsidP="00AA4361">
      <w:pPr>
        <w:ind w:left="-142" w:firstLine="142"/>
        <w:rPr>
          <w:lang w:val="uk-UA"/>
        </w:rPr>
      </w:pPr>
      <w:r w:rsidRPr="00EE64DD">
        <w:rPr>
          <w:b/>
          <w:lang w:val="uk-UA"/>
        </w:rPr>
        <w:t xml:space="preserve">начальник бюджетного відділу                                         </w:t>
      </w:r>
      <w:r>
        <w:rPr>
          <w:b/>
          <w:lang w:val="uk-UA"/>
        </w:rPr>
        <w:t xml:space="preserve">              </w:t>
      </w:r>
      <w:r w:rsidRPr="00EE64DD">
        <w:rPr>
          <w:b/>
          <w:lang w:val="uk-UA"/>
        </w:rPr>
        <w:t xml:space="preserve">               Леся ТОФАН</w:t>
      </w:r>
    </w:p>
    <w:p w:rsidR="00AA4361" w:rsidRPr="00EE64DD" w:rsidRDefault="00AA4361" w:rsidP="00AA4361">
      <w:pPr>
        <w:rPr>
          <w:lang w:val="uk-UA"/>
        </w:rPr>
      </w:pPr>
    </w:p>
    <w:p w:rsidR="00AA4361" w:rsidRPr="00EE64DD" w:rsidRDefault="00AA4361" w:rsidP="00AA4361">
      <w:pPr>
        <w:rPr>
          <w:lang w:val="uk-UA"/>
        </w:rPr>
      </w:pPr>
    </w:p>
    <w:p w:rsidR="00AA4361" w:rsidRPr="00EE64DD" w:rsidRDefault="00AA4361" w:rsidP="00AA4361">
      <w:pPr>
        <w:rPr>
          <w:lang w:val="uk-UA"/>
        </w:rPr>
      </w:pPr>
    </w:p>
    <w:p w:rsidR="00AA4361" w:rsidRPr="00EE64DD"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Default="00AA4361" w:rsidP="00AA4361">
      <w:pPr>
        <w:rPr>
          <w:lang w:val="uk-UA"/>
        </w:rPr>
      </w:pPr>
    </w:p>
    <w:p w:rsidR="00AA4361" w:rsidRPr="00951CB6" w:rsidRDefault="00AA4361" w:rsidP="00AA4361">
      <w:pPr>
        <w:ind w:firstLine="6946"/>
        <w:rPr>
          <w:color w:val="000000"/>
          <w:lang w:eastAsia="uk-UA"/>
        </w:rPr>
      </w:pPr>
      <w:proofErr w:type="spellStart"/>
      <w:r w:rsidRPr="00951CB6">
        <w:rPr>
          <w:color w:val="000000"/>
          <w:lang w:eastAsia="uk-UA"/>
        </w:rPr>
        <w:t>Додаток</w:t>
      </w:r>
      <w:proofErr w:type="spellEnd"/>
      <w:r w:rsidRPr="00951CB6">
        <w:rPr>
          <w:color w:val="000000"/>
          <w:lang w:eastAsia="uk-UA"/>
        </w:rPr>
        <w:t xml:space="preserve"> 1                                                      </w:t>
      </w:r>
    </w:p>
    <w:p w:rsidR="00AA4361" w:rsidRPr="00951CB6" w:rsidRDefault="00AA4361" w:rsidP="00AA4361">
      <w:pPr>
        <w:ind w:left="5664" w:firstLine="708"/>
        <w:rPr>
          <w:color w:val="000000"/>
          <w:lang w:val="uk-UA" w:eastAsia="uk-UA"/>
        </w:rPr>
      </w:pPr>
      <w:r w:rsidRPr="00951CB6">
        <w:rPr>
          <w:color w:val="000000"/>
          <w:lang w:eastAsia="uk-UA"/>
        </w:rPr>
        <w:t xml:space="preserve">до </w:t>
      </w:r>
      <w:proofErr w:type="spellStart"/>
      <w:proofErr w:type="gramStart"/>
      <w:r w:rsidRPr="00951CB6">
        <w:rPr>
          <w:color w:val="000000"/>
          <w:lang w:eastAsia="uk-UA"/>
        </w:rPr>
        <w:t>р</w:t>
      </w:r>
      <w:proofErr w:type="gramEnd"/>
      <w:r w:rsidRPr="00951CB6">
        <w:rPr>
          <w:color w:val="000000"/>
          <w:lang w:eastAsia="uk-UA"/>
        </w:rPr>
        <w:t>ішення</w:t>
      </w:r>
      <w:proofErr w:type="spellEnd"/>
      <w:r w:rsidRPr="00951CB6">
        <w:rPr>
          <w:color w:val="000000"/>
          <w:lang w:eastAsia="uk-UA"/>
        </w:rPr>
        <w:t xml:space="preserve"> </w:t>
      </w:r>
      <w:r w:rsidRPr="00951CB6">
        <w:rPr>
          <w:color w:val="000000"/>
          <w:lang w:val="uk-UA" w:eastAsia="uk-UA"/>
        </w:rPr>
        <w:t>сесії селищної ради</w:t>
      </w:r>
    </w:p>
    <w:p w:rsidR="00AA4361" w:rsidRPr="00951CB6" w:rsidRDefault="00AA4361" w:rsidP="00AA4361">
      <w:pPr>
        <w:ind w:left="5664" w:firstLine="708"/>
        <w:rPr>
          <w:color w:val="000000"/>
          <w:lang w:val="uk-UA" w:eastAsia="uk-UA"/>
        </w:rPr>
      </w:pPr>
      <w:proofErr w:type="spellStart"/>
      <w:r w:rsidRPr="00951CB6">
        <w:rPr>
          <w:color w:val="000000"/>
          <w:lang w:eastAsia="uk-UA"/>
        </w:rPr>
        <w:t>від</w:t>
      </w:r>
      <w:proofErr w:type="spellEnd"/>
      <w:r w:rsidRPr="00951CB6">
        <w:rPr>
          <w:color w:val="000000"/>
          <w:lang w:eastAsia="uk-UA"/>
        </w:rPr>
        <w:t xml:space="preserve"> </w:t>
      </w:r>
      <w:r w:rsidRPr="00951CB6">
        <w:rPr>
          <w:color w:val="000000"/>
          <w:lang w:val="uk-UA" w:eastAsia="uk-UA"/>
        </w:rPr>
        <w:t>27.</w:t>
      </w:r>
      <w:r w:rsidRPr="00951CB6">
        <w:rPr>
          <w:color w:val="000000"/>
          <w:lang w:eastAsia="uk-UA"/>
        </w:rPr>
        <w:t xml:space="preserve">04.2023 № </w:t>
      </w:r>
      <w:r w:rsidRPr="00951CB6">
        <w:rPr>
          <w:color w:val="000000"/>
          <w:lang w:val="uk-UA" w:eastAsia="uk-UA"/>
        </w:rPr>
        <w:t>349-26/2023</w:t>
      </w:r>
    </w:p>
    <w:p w:rsidR="00AA4361" w:rsidRPr="000623A9" w:rsidRDefault="00AA4361" w:rsidP="00AA4361">
      <w:pPr>
        <w:ind w:firstLine="6946"/>
        <w:rPr>
          <w:lang w:val="uk-UA"/>
        </w:rPr>
      </w:pPr>
    </w:p>
    <w:p w:rsidR="00AA4361" w:rsidRPr="005F60CC" w:rsidRDefault="00AA4361" w:rsidP="00AA4361">
      <w:pPr>
        <w:tabs>
          <w:tab w:val="left" w:pos="3810"/>
        </w:tabs>
        <w:jc w:val="center"/>
        <w:rPr>
          <w:b/>
          <w:bCs/>
          <w:sz w:val="28"/>
          <w:szCs w:val="28"/>
          <w:lang w:eastAsia="uk-UA"/>
        </w:rPr>
      </w:pPr>
      <w:proofErr w:type="spellStart"/>
      <w:r w:rsidRPr="005F60CC">
        <w:rPr>
          <w:b/>
          <w:bCs/>
          <w:sz w:val="28"/>
          <w:szCs w:val="28"/>
          <w:lang w:eastAsia="uk-UA"/>
        </w:rPr>
        <w:t>Звіт</w:t>
      </w:r>
      <w:proofErr w:type="spellEnd"/>
      <w:r w:rsidRPr="005F60CC">
        <w:rPr>
          <w:b/>
          <w:bCs/>
          <w:sz w:val="28"/>
          <w:szCs w:val="28"/>
          <w:lang w:eastAsia="uk-UA"/>
        </w:rPr>
        <w:t xml:space="preserve"> про </w:t>
      </w:r>
      <w:proofErr w:type="spellStart"/>
      <w:r w:rsidRPr="005F60CC">
        <w:rPr>
          <w:b/>
          <w:bCs/>
          <w:sz w:val="28"/>
          <w:szCs w:val="28"/>
          <w:lang w:eastAsia="uk-UA"/>
        </w:rPr>
        <w:t>виконання</w:t>
      </w:r>
      <w:proofErr w:type="spellEnd"/>
      <w:r w:rsidRPr="005F60CC">
        <w:rPr>
          <w:b/>
          <w:bCs/>
          <w:sz w:val="28"/>
          <w:szCs w:val="28"/>
          <w:lang w:eastAsia="uk-UA"/>
        </w:rPr>
        <w:t xml:space="preserve"> </w:t>
      </w:r>
      <w:proofErr w:type="spellStart"/>
      <w:r w:rsidRPr="005F60CC">
        <w:rPr>
          <w:b/>
          <w:bCs/>
          <w:sz w:val="28"/>
          <w:szCs w:val="28"/>
          <w:lang w:eastAsia="uk-UA"/>
        </w:rPr>
        <w:t>дох</w:t>
      </w:r>
      <w:r>
        <w:rPr>
          <w:b/>
          <w:bCs/>
          <w:sz w:val="28"/>
          <w:szCs w:val="28"/>
          <w:lang w:eastAsia="uk-UA"/>
        </w:rPr>
        <w:t>і</w:t>
      </w:r>
      <w:r w:rsidRPr="005F60CC">
        <w:rPr>
          <w:b/>
          <w:bCs/>
          <w:sz w:val="28"/>
          <w:szCs w:val="28"/>
          <w:lang w:eastAsia="uk-UA"/>
        </w:rPr>
        <w:t>дної</w:t>
      </w:r>
      <w:proofErr w:type="spellEnd"/>
      <w:r w:rsidRPr="005F60CC">
        <w:rPr>
          <w:b/>
          <w:bCs/>
          <w:sz w:val="28"/>
          <w:szCs w:val="28"/>
          <w:lang w:eastAsia="uk-UA"/>
        </w:rPr>
        <w:t xml:space="preserve"> </w:t>
      </w:r>
      <w:proofErr w:type="spellStart"/>
      <w:r w:rsidRPr="005F60CC">
        <w:rPr>
          <w:b/>
          <w:bCs/>
          <w:sz w:val="28"/>
          <w:szCs w:val="28"/>
          <w:lang w:eastAsia="uk-UA"/>
        </w:rPr>
        <w:t>частини</w:t>
      </w:r>
      <w:proofErr w:type="spellEnd"/>
    </w:p>
    <w:p w:rsidR="00AA4361" w:rsidRDefault="00AA4361" w:rsidP="00AA4361">
      <w:pPr>
        <w:tabs>
          <w:tab w:val="left" w:pos="3810"/>
        </w:tabs>
        <w:jc w:val="center"/>
        <w:rPr>
          <w:b/>
          <w:bCs/>
          <w:sz w:val="28"/>
          <w:szCs w:val="28"/>
          <w:lang w:val="uk-UA" w:eastAsia="uk-UA"/>
        </w:rPr>
      </w:pPr>
      <w:r w:rsidRPr="005F60CC">
        <w:rPr>
          <w:b/>
          <w:bCs/>
          <w:sz w:val="28"/>
          <w:szCs w:val="28"/>
          <w:lang w:eastAsia="uk-UA"/>
        </w:rPr>
        <w:t xml:space="preserve"> бюджету </w:t>
      </w:r>
      <w:proofErr w:type="spellStart"/>
      <w:r w:rsidRPr="005F60CC">
        <w:rPr>
          <w:b/>
          <w:bCs/>
          <w:sz w:val="28"/>
          <w:szCs w:val="28"/>
          <w:lang w:eastAsia="uk-UA"/>
        </w:rPr>
        <w:t>Верховинської</w:t>
      </w:r>
      <w:proofErr w:type="spellEnd"/>
      <w:r w:rsidRPr="005F60CC">
        <w:rPr>
          <w:b/>
          <w:bCs/>
          <w:sz w:val="28"/>
          <w:szCs w:val="28"/>
          <w:lang w:eastAsia="uk-UA"/>
        </w:rPr>
        <w:t xml:space="preserve"> </w:t>
      </w:r>
      <w:proofErr w:type="spellStart"/>
      <w:r w:rsidRPr="005F60CC">
        <w:rPr>
          <w:b/>
          <w:bCs/>
          <w:sz w:val="28"/>
          <w:szCs w:val="28"/>
          <w:lang w:eastAsia="uk-UA"/>
        </w:rPr>
        <w:t>територіальної</w:t>
      </w:r>
      <w:proofErr w:type="spellEnd"/>
      <w:r w:rsidRPr="005F60CC">
        <w:rPr>
          <w:b/>
          <w:bCs/>
          <w:sz w:val="28"/>
          <w:szCs w:val="28"/>
          <w:lang w:eastAsia="uk-UA"/>
        </w:rPr>
        <w:t xml:space="preserve"> </w:t>
      </w:r>
      <w:proofErr w:type="spellStart"/>
      <w:r w:rsidRPr="005F60CC">
        <w:rPr>
          <w:b/>
          <w:bCs/>
          <w:sz w:val="28"/>
          <w:szCs w:val="28"/>
          <w:lang w:eastAsia="uk-UA"/>
        </w:rPr>
        <w:t>громади</w:t>
      </w:r>
      <w:proofErr w:type="spellEnd"/>
      <w:r w:rsidRPr="005F60CC">
        <w:rPr>
          <w:b/>
          <w:bCs/>
          <w:sz w:val="28"/>
          <w:szCs w:val="28"/>
          <w:lang w:eastAsia="uk-UA"/>
        </w:rPr>
        <w:t xml:space="preserve"> за </w:t>
      </w:r>
      <w:r>
        <w:rPr>
          <w:b/>
          <w:bCs/>
          <w:sz w:val="28"/>
          <w:szCs w:val="28"/>
          <w:lang w:eastAsia="uk-UA"/>
        </w:rPr>
        <w:t>І</w:t>
      </w:r>
      <w:r w:rsidRPr="005F60CC">
        <w:rPr>
          <w:b/>
          <w:bCs/>
          <w:sz w:val="28"/>
          <w:szCs w:val="28"/>
          <w:lang w:eastAsia="uk-UA"/>
        </w:rPr>
        <w:t xml:space="preserve"> квартал 2023 року</w:t>
      </w:r>
    </w:p>
    <w:p w:rsidR="00AA4361" w:rsidRPr="000623A9" w:rsidRDefault="00AA4361" w:rsidP="00AA4361">
      <w:pPr>
        <w:tabs>
          <w:tab w:val="left" w:pos="3810"/>
        </w:tabs>
        <w:jc w:val="center"/>
        <w:rPr>
          <w:b/>
          <w:bCs/>
          <w:sz w:val="28"/>
          <w:szCs w:val="28"/>
          <w:lang w:val="uk-UA" w:eastAsia="uk-UA"/>
        </w:rPr>
      </w:pPr>
    </w:p>
    <w:p w:rsidR="00AA4361" w:rsidRPr="004811B1" w:rsidRDefault="00AA4361" w:rsidP="00AA4361">
      <w:pPr>
        <w:tabs>
          <w:tab w:val="left" w:pos="3810"/>
        </w:tabs>
        <w:jc w:val="center"/>
        <w:rPr>
          <w:b/>
          <w:bCs/>
          <w:color w:val="000000"/>
          <w:sz w:val="16"/>
          <w:szCs w:val="16"/>
          <w:lang w:eastAsia="uk-UA"/>
        </w:rPr>
      </w:pPr>
      <w:r w:rsidRPr="005F60CC">
        <w:rPr>
          <w:b/>
          <w:bCs/>
          <w:color w:val="000000"/>
          <w:sz w:val="28"/>
          <w:szCs w:val="28"/>
          <w:lang w:eastAsia="uk-UA"/>
        </w:rPr>
        <w:t xml:space="preserve">                                           ЗАГАЛЬНИЙ ФОНД</w:t>
      </w:r>
      <w:r>
        <w:rPr>
          <w:b/>
          <w:bCs/>
          <w:color w:val="000000"/>
          <w:lang w:eastAsia="uk-UA"/>
        </w:rPr>
        <w:t xml:space="preserve">                                     </w:t>
      </w:r>
      <w:r w:rsidRPr="004811B1">
        <w:rPr>
          <w:bCs/>
          <w:color w:val="000000"/>
          <w:sz w:val="16"/>
          <w:szCs w:val="16"/>
          <w:lang w:eastAsia="uk-UA"/>
        </w:rPr>
        <w:t>тис</w:t>
      </w:r>
      <w:proofErr w:type="gramStart"/>
      <w:r w:rsidRPr="004811B1">
        <w:rPr>
          <w:bCs/>
          <w:color w:val="000000"/>
          <w:sz w:val="16"/>
          <w:szCs w:val="16"/>
          <w:lang w:eastAsia="uk-UA"/>
        </w:rPr>
        <w:t>.</w:t>
      </w:r>
      <w:proofErr w:type="gramEnd"/>
      <w:r w:rsidRPr="004811B1">
        <w:rPr>
          <w:bCs/>
          <w:color w:val="000000"/>
          <w:sz w:val="16"/>
          <w:szCs w:val="16"/>
          <w:lang w:eastAsia="uk-UA"/>
        </w:rPr>
        <w:t xml:space="preserve"> </w:t>
      </w:r>
      <w:proofErr w:type="spellStart"/>
      <w:proofErr w:type="gramStart"/>
      <w:r w:rsidRPr="004811B1">
        <w:rPr>
          <w:bCs/>
          <w:color w:val="000000"/>
          <w:sz w:val="16"/>
          <w:szCs w:val="16"/>
          <w:lang w:eastAsia="uk-UA"/>
        </w:rPr>
        <w:t>г</w:t>
      </w:r>
      <w:proofErr w:type="gramEnd"/>
      <w:r w:rsidRPr="004811B1">
        <w:rPr>
          <w:bCs/>
          <w:color w:val="000000"/>
          <w:sz w:val="16"/>
          <w:szCs w:val="16"/>
          <w:lang w:eastAsia="uk-UA"/>
        </w:rPr>
        <w:t>рн</w:t>
      </w:r>
      <w:proofErr w:type="spellEnd"/>
      <w:r w:rsidRPr="004811B1">
        <w:rPr>
          <w:bCs/>
          <w:color w:val="000000"/>
          <w:sz w:val="16"/>
          <w:szCs w:val="16"/>
          <w:lang w:eastAsia="uk-UA"/>
        </w:rPr>
        <w:t>.</w:t>
      </w:r>
    </w:p>
    <w:tbl>
      <w:tblPr>
        <w:tblW w:w="11057" w:type="dxa"/>
        <w:tblInd w:w="-601" w:type="dxa"/>
        <w:tblLayout w:type="fixed"/>
        <w:tblLook w:val="04A0"/>
      </w:tblPr>
      <w:tblGrid>
        <w:gridCol w:w="1276"/>
        <w:gridCol w:w="3402"/>
        <w:gridCol w:w="1560"/>
        <w:gridCol w:w="1275"/>
        <w:gridCol w:w="283"/>
        <w:gridCol w:w="1133"/>
        <w:gridCol w:w="142"/>
        <w:gridCol w:w="850"/>
        <w:gridCol w:w="285"/>
        <w:gridCol w:w="566"/>
        <w:gridCol w:w="285"/>
      </w:tblGrid>
      <w:tr w:rsidR="00AA4361" w:rsidRPr="006F1C8F" w:rsidTr="00447AB1">
        <w:trPr>
          <w:gridAfter w:val="1"/>
          <w:wAfter w:w="285" w:type="dxa"/>
          <w:trHeight w:val="78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b/>
                <w:bCs/>
                <w:color w:val="000000"/>
                <w:lang w:eastAsia="uk-UA"/>
              </w:rPr>
            </w:pPr>
            <w:r w:rsidRPr="00FC2ABE">
              <w:rPr>
                <w:b/>
                <w:bCs/>
                <w:color w:val="000000"/>
                <w:lang w:eastAsia="uk-UA"/>
              </w:rPr>
              <w:t>ККД</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AA4361" w:rsidRPr="00FC2ABE" w:rsidRDefault="00AA4361" w:rsidP="00447AB1">
            <w:pPr>
              <w:jc w:val="center"/>
              <w:rPr>
                <w:b/>
                <w:bCs/>
                <w:color w:val="000000"/>
                <w:lang w:eastAsia="uk-UA"/>
              </w:rPr>
            </w:pPr>
            <w:r w:rsidRPr="00FC2ABE">
              <w:rPr>
                <w:b/>
                <w:bCs/>
                <w:color w:val="000000"/>
                <w:lang w:eastAsia="uk-UA"/>
              </w:rPr>
              <w:t>Доходи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A4361" w:rsidRPr="00FC2ABE" w:rsidRDefault="00AA4361" w:rsidP="00447AB1">
            <w:pPr>
              <w:rPr>
                <w:b/>
                <w:bCs/>
                <w:color w:val="000000"/>
                <w:lang w:eastAsia="uk-UA"/>
              </w:rPr>
            </w:pPr>
            <w:r>
              <w:rPr>
                <w:b/>
                <w:bCs/>
                <w:color w:val="000000"/>
                <w:lang w:eastAsia="uk-UA"/>
              </w:rPr>
              <w:t xml:space="preserve">Уточнений план на </w:t>
            </w:r>
            <w:proofErr w:type="spellStart"/>
            <w:proofErr w:type="gramStart"/>
            <w:r>
              <w:rPr>
                <w:b/>
                <w:bCs/>
                <w:color w:val="000000"/>
                <w:lang w:eastAsia="uk-UA"/>
              </w:rPr>
              <w:t>р</w:t>
            </w:r>
            <w:proofErr w:type="gramEnd"/>
            <w:r>
              <w:rPr>
                <w:b/>
                <w:bCs/>
                <w:color w:val="000000"/>
                <w:lang w:eastAsia="uk-UA"/>
              </w:rPr>
              <w:t>ік</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A4361" w:rsidRPr="00FC2ABE" w:rsidRDefault="00AA4361" w:rsidP="00447AB1">
            <w:pPr>
              <w:jc w:val="center"/>
              <w:rPr>
                <w:b/>
                <w:bCs/>
                <w:color w:val="000000"/>
                <w:lang w:eastAsia="uk-UA"/>
              </w:rPr>
            </w:pPr>
            <w:r w:rsidRPr="00FC2ABE">
              <w:rPr>
                <w:b/>
                <w:bCs/>
                <w:color w:val="000000"/>
                <w:lang w:eastAsia="uk-UA"/>
              </w:rPr>
              <w:t xml:space="preserve"> Уточ</w:t>
            </w:r>
            <w:r>
              <w:rPr>
                <w:b/>
                <w:bCs/>
                <w:color w:val="000000"/>
                <w:lang w:eastAsia="uk-UA"/>
              </w:rPr>
              <w:t xml:space="preserve">нений план на </w:t>
            </w:r>
            <w:proofErr w:type="spellStart"/>
            <w:r>
              <w:rPr>
                <w:b/>
                <w:bCs/>
                <w:color w:val="000000"/>
                <w:lang w:eastAsia="uk-UA"/>
              </w:rPr>
              <w:t>звітний</w:t>
            </w:r>
            <w:proofErr w:type="spellEnd"/>
            <w:r>
              <w:rPr>
                <w:b/>
                <w:bCs/>
                <w:color w:val="000000"/>
                <w:lang w:eastAsia="uk-UA"/>
              </w:rPr>
              <w:t xml:space="preserve"> </w:t>
            </w:r>
            <w:proofErr w:type="spellStart"/>
            <w:r>
              <w:rPr>
                <w:b/>
                <w:bCs/>
                <w:color w:val="000000"/>
                <w:lang w:eastAsia="uk-UA"/>
              </w:rPr>
              <w:t>період</w:t>
            </w:r>
            <w:proofErr w:type="spellEnd"/>
          </w:p>
        </w:tc>
        <w:tc>
          <w:tcPr>
            <w:tcW w:w="1416" w:type="dxa"/>
            <w:gridSpan w:val="2"/>
            <w:tcBorders>
              <w:top w:val="single" w:sz="4" w:space="0" w:color="auto"/>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b/>
                <w:bCs/>
                <w:color w:val="000000"/>
                <w:lang w:eastAsia="uk-UA"/>
              </w:rPr>
            </w:pPr>
            <w:r w:rsidRPr="00FC2ABE">
              <w:rPr>
                <w:b/>
                <w:bCs/>
                <w:color w:val="000000"/>
                <w:lang w:eastAsia="uk-UA"/>
              </w:rPr>
              <w:t>Факт</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b/>
                <w:bCs/>
                <w:color w:val="000000"/>
                <w:lang w:eastAsia="uk-UA"/>
              </w:rPr>
            </w:pPr>
            <w:r w:rsidRPr="00FC2ABE">
              <w:rPr>
                <w:b/>
                <w:bCs/>
                <w:color w:val="000000"/>
                <w:lang w:eastAsia="uk-UA"/>
              </w:rPr>
              <w:t>+/-</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b/>
                <w:bCs/>
                <w:color w:val="000000"/>
                <w:lang w:eastAsia="uk-UA"/>
              </w:rPr>
            </w:pPr>
            <w:r w:rsidRPr="00FC2ABE">
              <w:rPr>
                <w:b/>
                <w:bCs/>
                <w:color w:val="000000"/>
                <w:lang w:eastAsia="uk-UA"/>
              </w:rPr>
              <w:t xml:space="preserve">% </w:t>
            </w:r>
            <w:proofErr w:type="spellStart"/>
            <w:r w:rsidRPr="00FC2ABE">
              <w:rPr>
                <w:b/>
                <w:bCs/>
                <w:color w:val="000000"/>
                <w:lang w:eastAsia="uk-UA"/>
              </w:rPr>
              <w:t>викон</w:t>
            </w:r>
            <w:proofErr w:type="spellEnd"/>
            <w:r w:rsidRPr="00FC2ABE">
              <w:rPr>
                <w:b/>
                <w:bCs/>
                <w:color w:val="000000"/>
                <w:lang w:eastAsia="uk-UA"/>
              </w:rPr>
              <w:t>.</w:t>
            </w:r>
          </w:p>
        </w:tc>
      </w:tr>
      <w:tr w:rsidR="00AA4361" w:rsidRPr="006F1C8F" w:rsidTr="00447AB1">
        <w:trPr>
          <w:gridAfter w:val="1"/>
          <w:wAfter w:w="285"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A4361" w:rsidRPr="00FC2ABE" w:rsidRDefault="00AA4361" w:rsidP="00447AB1">
            <w:pPr>
              <w:jc w:val="center"/>
              <w:rPr>
                <w:color w:val="000000"/>
                <w:lang w:eastAsia="uk-UA"/>
              </w:rPr>
            </w:pPr>
            <w:r w:rsidRPr="00FC2ABE">
              <w:rPr>
                <w:color w:val="000000"/>
                <w:lang w:eastAsia="uk-UA"/>
              </w:rPr>
              <w:lastRenderedPageBreak/>
              <w:t>1</w:t>
            </w:r>
          </w:p>
        </w:tc>
        <w:tc>
          <w:tcPr>
            <w:tcW w:w="3402" w:type="dxa"/>
            <w:tcBorders>
              <w:top w:val="nil"/>
              <w:left w:val="nil"/>
              <w:bottom w:val="single" w:sz="4" w:space="0" w:color="auto"/>
              <w:right w:val="single" w:sz="4" w:space="0" w:color="auto"/>
            </w:tcBorders>
            <w:shd w:val="clear" w:color="auto" w:fill="auto"/>
            <w:vAlign w:val="bottom"/>
            <w:hideMark/>
          </w:tcPr>
          <w:p w:rsidR="00AA4361" w:rsidRPr="00FC2ABE" w:rsidRDefault="00AA4361" w:rsidP="00447AB1">
            <w:pPr>
              <w:jc w:val="center"/>
              <w:rPr>
                <w:color w:val="000000"/>
                <w:lang w:eastAsia="uk-UA"/>
              </w:rPr>
            </w:pPr>
            <w:r w:rsidRPr="00FC2ABE">
              <w:rPr>
                <w:color w:val="000000"/>
                <w:lang w:eastAsia="uk-UA"/>
              </w:rPr>
              <w:t>2</w:t>
            </w:r>
          </w:p>
        </w:tc>
        <w:tc>
          <w:tcPr>
            <w:tcW w:w="1560" w:type="dxa"/>
            <w:tcBorders>
              <w:top w:val="nil"/>
              <w:left w:val="nil"/>
              <w:bottom w:val="single" w:sz="4" w:space="0" w:color="auto"/>
              <w:right w:val="single" w:sz="4" w:space="0" w:color="auto"/>
            </w:tcBorders>
            <w:shd w:val="clear" w:color="auto" w:fill="auto"/>
            <w:noWrap/>
            <w:vAlign w:val="bottom"/>
            <w:hideMark/>
          </w:tcPr>
          <w:p w:rsidR="00AA4361" w:rsidRPr="00FC2ABE" w:rsidRDefault="00AA4361" w:rsidP="00447AB1">
            <w:pPr>
              <w:jc w:val="center"/>
              <w:rPr>
                <w:color w:val="000000"/>
                <w:lang w:eastAsia="uk-UA"/>
              </w:rPr>
            </w:pPr>
            <w:r w:rsidRPr="00FC2ABE">
              <w:rPr>
                <w:color w:val="000000"/>
                <w:lang w:eastAsia="uk-UA"/>
              </w:rPr>
              <w:t>3</w:t>
            </w:r>
          </w:p>
        </w:tc>
        <w:tc>
          <w:tcPr>
            <w:tcW w:w="1275" w:type="dxa"/>
            <w:tcBorders>
              <w:top w:val="nil"/>
              <w:left w:val="nil"/>
              <w:bottom w:val="single" w:sz="4" w:space="0" w:color="auto"/>
              <w:right w:val="single" w:sz="4" w:space="0" w:color="auto"/>
            </w:tcBorders>
            <w:shd w:val="clear" w:color="auto" w:fill="auto"/>
            <w:noWrap/>
            <w:vAlign w:val="bottom"/>
            <w:hideMark/>
          </w:tcPr>
          <w:p w:rsidR="00AA4361" w:rsidRPr="00FC2ABE" w:rsidRDefault="00AA4361" w:rsidP="00447AB1">
            <w:pPr>
              <w:jc w:val="center"/>
              <w:rPr>
                <w:color w:val="000000"/>
                <w:lang w:eastAsia="uk-UA"/>
              </w:rPr>
            </w:pPr>
            <w:r w:rsidRPr="00FC2ABE">
              <w:rPr>
                <w:color w:val="000000"/>
                <w:lang w:eastAsia="uk-UA"/>
              </w:rPr>
              <w:t>4</w:t>
            </w:r>
          </w:p>
        </w:tc>
        <w:tc>
          <w:tcPr>
            <w:tcW w:w="1416" w:type="dxa"/>
            <w:gridSpan w:val="2"/>
            <w:tcBorders>
              <w:top w:val="nil"/>
              <w:left w:val="nil"/>
              <w:bottom w:val="single" w:sz="4" w:space="0" w:color="auto"/>
              <w:right w:val="single" w:sz="4" w:space="0" w:color="auto"/>
            </w:tcBorders>
            <w:shd w:val="clear" w:color="auto" w:fill="auto"/>
            <w:noWrap/>
            <w:vAlign w:val="bottom"/>
            <w:hideMark/>
          </w:tcPr>
          <w:p w:rsidR="00AA4361" w:rsidRPr="00FC2ABE" w:rsidRDefault="00AA4361" w:rsidP="00447AB1">
            <w:pPr>
              <w:jc w:val="center"/>
              <w:rPr>
                <w:color w:val="000000"/>
                <w:lang w:eastAsia="uk-UA"/>
              </w:rPr>
            </w:pPr>
            <w:r w:rsidRPr="00FC2ABE">
              <w:rPr>
                <w:color w:val="000000"/>
                <w:lang w:eastAsia="uk-UA"/>
              </w:rPr>
              <w:t>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AA4361" w:rsidRPr="00FC2ABE" w:rsidRDefault="00AA4361" w:rsidP="00447AB1">
            <w:pPr>
              <w:jc w:val="center"/>
              <w:rPr>
                <w:color w:val="000000"/>
                <w:lang w:eastAsia="uk-UA"/>
              </w:rPr>
            </w:pPr>
            <w:r w:rsidRPr="00FC2ABE">
              <w:rPr>
                <w:color w:val="000000"/>
                <w:lang w:eastAsia="uk-UA"/>
              </w:rPr>
              <w:t>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4361" w:rsidRPr="00FC2ABE" w:rsidRDefault="00AA4361" w:rsidP="00447AB1">
            <w:pPr>
              <w:jc w:val="center"/>
              <w:rPr>
                <w:color w:val="000000"/>
                <w:lang w:eastAsia="uk-UA"/>
              </w:rPr>
            </w:pPr>
            <w:r w:rsidRPr="00FC2ABE">
              <w:rPr>
                <w:color w:val="000000"/>
                <w:lang w:eastAsia="uk-UA"/>
              </w:rPr>
              <w:t>7</w:t>
            </w:r>
          </w:p>
        </w:tc>
      </w:tr>
      <w:tr w:rsidR="00AA4361" w:rsidRPr="006F1C8F" w:rsidTr="00447AB1">
        <w:trPr>
          <w:gridAfter w:val="1"/>
          <w:wAfter w:w="285" w:type="dxa"/>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11010000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Податок</w:t>
            </w:r>
            <w:proofErr w:type="spellEnd"/>
            <w:r w:rsidRPr="00FC2ABE">
              <w:rPr>
                <w:color w:val="000000"/>
                <w:lang w:eastAsia="uk-UA"/>
              </w:rPr>
              <w:t xml:space="preserve"> та </w:t>
            </w:r>
            <w:proofErr w:type="spellStart"/>
            <w:r w:rsidRPr="00FC2ABE">
              <w:rPr>
                <w:color w:val="000000"/>
                <w:lang w:eastAsia="uk-UA"/>
              </w:rPr>
              <w:t>збі</w:t>
            </w:r>
            <w:proofErr w:type="gramStart"/>
            <w:r w:rsidRPr="00FC2ABE">
              <w:rPr>
                <w:color w:val="000000"/>
                <w:lang w:eastAsia="uk-UA"/>
              </w:rPr>
              <w:t>р</w:t>
            </w:r>
            <w:proofErr w:type="spellEnd"/>
            <w:proofErr w:type="gramEnd"/>
            <w:r w:rsidRPr="00FC2ABE">
              <w:rPr>
                <w:color w:val="000000"/>
                <w:lang w:eastAsia="uk-UA"/>
              </w:rPr>
              <w:t xml:space="preserve"> на доходи </w:t>
            </w:r>
            <w:proofErr w:type="spellStart"/>
            <w:r w:rsidRPr="00FC2ABE">
              <w:rPr>
                <w:color w:val="000000"/>
                <w:lang w:eastAsia="uk-UA"/>
              </w:rPr>
              <w:t>фізичних</w:t>
            </w:r>
            <w:proofErr w:type="spellEnd"/>
            <w:r w:rsidRPr="00FC2ABE">
              <w:rPr>
                <w:color w:val="000000"/>
                <w:lang w:eastAsia="uk-UA"/>
              </w:rPr>
              <w:t xml:space="preserve"> </w:t>
            </w:r>
            <w:proofErr w:type="spellStart"/>
            <w:r w:rsidRPr="00FC2ABE">
              <w:rPr>
                <w:color w:val="000000"/>
                <w:lang w:eastAsia="uk-UA"/>
              </w:rPr>
              <w:t>осіб</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53 635,6</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12 833,9</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12 352,6</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-481,3</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96,3</w:t>
            </w:r>
          </w:p>
        </w:tc>
      </w:tr>
      <w:tr w:rsidR="00AA4361" w:rsidRPr="006F1C8F" w:rsidTr="00447AB1">
        <w:trPr>
          <w:gridAfter w:val="1"/>
          <w:wAfter w:w="285" w:type="dxa"/>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11020000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Податок</w:t>
            </w:r>
            <w:proofErr w:type="spellEnd"/>
            <w:r w:rsidRPr="00FC2ABE">
              <w:rPr>
                <w:color w:val="000000"/>
                <w:lang w:eastAsia="uk-UA"/>
              </w:rPr>
              <w:t xml:space="preserve"> на </w:t>
            </w:r>
            <w:proofErr w:type="spellStart"/>
            <w:r w:rsidRPr="00FC2ABE">
              <w:rPr>
                <w:color w:val="000000"/>
                <w:lang w:eastAsia="uk-UA"/>
              </w:rPr>
              <w:t>прибуток</w:t>
            </w:r>
            <w:proofErr w:type="spellEnd"/>
            <w:r w:rsidRPr="00FC2ABE">
              <w:rPr>
                <w:color w:val="000000"/>
                <w:lang w:eastAsia="uk-UA"/>
              </w:rPr>
              <w:t xml:space="preserve"> </w:t>
            </w:r>
            <w:proofErr w:type="spellStart"/>
            <w:proofErr w:type="gramStart"/>
            <w:r w:rsidRPr="00FC2ABE">
              <w:rPr>
                <w:color w:val="000000"/>
                <w:lang w:eastAsia="uk-UA"/>
              </w:rPr>
              <w:t>п</w:t>
            </w:r>
            <w:proofErr w:type="gramEnd"/>
            <w:r w:rsidRPr="00FC2ABE">
              <w:rPr>
                <w:color w:val="000000"/>
                <w:lang w:eastAsia="uk-UA"/>
              </w:rPr>
              <w:t>ідприємств</w:t>
            </w:r>
            <w:proofErr w:type="spellEnd"/>
            <w:r w:rsidRPr="00FC2ABE">
              <w:rPr>
                <w:color w:val="000000"/>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0,5</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0,</w:t>
            </w:r>
            <w:r>
              <w:rPr>
                <w:color w:val="000000"/>
                <w:lang w:eastAsia="uk-UA"/>
              </w:rPr>
              <w:t>2</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0,</w:t>
            </w:r>
            <w:r>
              <w:rPr>
                <w:color w:val="000000"/>
                <w:lang w:eastAsia="uk-UA"/>
              </w:rPr>
              <w:t>0</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-0,2</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24</w:t>
            </w:r>
            <w:r w:rsidRPr="00FC2ABE">
              <w:rPr>
                <w:b/>
                <w:bCs/>
                <w:color w:val="000000"/>
                <w:lang w:eastAsia="uk-UA"/>
              </w:rPr>
              <w:t>,</w:t>
            </w:r>
            <w:r>
              <w:rPr>
                <w:b/>
                <w:bCs/>
                <w:color w:val="000000"/>
                <w:lang w:eastAsia="uk-UA"/>
              </w:rPr>
              <w:t>0</w:t>
            </w:r>
          </w:p>
        </w:tc>
      </w:tr>
      <w:tr w:rsidR="00AA4361" w:rsidRPr="006F1C8F" w:rsidTr="00447AB1">
        <w:trPr>
          <w:gridAfter w:val="1"/>
          <w:wAfter w:w="285" w:type="dxa"/>
          <w:trHeight w:val="52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13010000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Рентна</w:t>
            </w:r>
            <w:proofErr w:type="spellEnd"/>
            <w:r w:rsidRPr="00FC2ABE">
              <w:rPr>
                <w:color w:val="000000"/>
                <w:lang w:eastAsia="uk-UA"/>
              </w:rPr>
              <w:t xml:space="preserve"> плата за </w:t>
            </w:r>
            <w:proofErr w:type="spellStart"/>
            <w:r w:rsidRPr="00FC2ABE">
              <w:rPr>
                <w:color w:val="000000"/>
                <w:lang w:eastAsia="uk-UA"/>
              </w:rPr>
              <w:t>спеціальне</w:t>
            </w:r>
            <w:proofErr w:type="spellEnd"/>
            <w:r w:rsidRPr="00FC2ABE">
              <w:rPr>
                <w:color w:val="000000"/>
                <w:lang w:eastAsia="uk-UA"/>
              </w:rPr>
              <w:t xml:space="preserve"> </w:t>
            </w:r>
            <w:proofErr w:type="spellStart"/>
            <w:r w:rsidRPr="00FC2ABE">
              <w:rPr>
                <w:color w:val="000000"/>
                <w:lang w:eastAsia="uk-UA"/>
              </w:rPr>
              <w:t>використання</w:t>
            </w:r>
            <w:proofErr w:type="spellEnd"/>
            <w:r w:rsidRPr="00FC2ABE">
              <w:rPr>
                <w:color w:val="000000"/>
                <w:lang w:eastAsia="uk-UA"/>
              </w:rPr>
              <w:t xml:space="preserve"> </w:t>
            </w:r>
            <w:proofErr w:type="spellStart"/>
            <w:r w:rsidRPr="00FC2ABE">
              <w:rPr>
                <w:color w:val="000000"/>
                <w:lang w:eastAsia="uk-UA"/>
              </w:rPr>
              <w:t>лісових</w:t>
            </w:r>
            <w:proofErr w:type="spellEnd"/>
            <w:r w:rsidRPr="00FC2ABE">
              <w:rPr>
                <w:color w:val="000000"/>
                <w:lang w:eastAsia="uk-UA"/>
              </w:rPr>
              <w:t xml:space="preserve"> </w:t>
            </w:r>
            <w:proofErr w:type="spellStart"/>
            <w:r w:rsidRPr="00FC2ABE">
              <w:rPr>
                <w:color w:val="000000"/>
                <w:lang w:eastAsia="uk-UA"/>
              </w:rPr>
              <w:t>ресурсі</w:t>
            </w:r>
            <w:proofErr w:type="gramStart"/>
            <w:r w:rsidRPr="00FC2ABE">
              <w:rPr>
                <w:color w:val="000000"/>
                <w:lang w:eastAsia="uk-UA"/>
              </w:rPr>
              <w:t>в</w:t>
            </w:r>
            <w:proofErr w:type="spellEnd"/>
            <w:proofErr w:type="gramEnd"/>
            <w:r w:rsidRPr="00FC2ABE">
              <w:rPr>
                <w:color w:val="000000"/>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1497,5</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389,3</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390,4</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1,1</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100,3</w:t>
            </w:r>
          </w:p>
        </w:tc>
      </w:tr>
      <w:tr w:rsidR="00AA4361" w:rsidRPr="006F1C8F" w:rsidTr="00447AB1">
        <w:trPr>
          <w:gridAfter w:val="1"/>
          <w:wAfter w:w="285" w:type="dxa"/>
          <w:trHeight w:val="75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14020000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Акцизний</w:t>
            </w:r>
            <w:proofErr w:type="spellEnd"/>
            <w:r w:rsidRPr="00FC2ABE">
              <w:rPr>
                <w:color w:val="000000"/>
                <w:lang w:eastAsia="uk-UA"/>
              </w:rPr>
              <w:t xml:space="preserve"> </w:t>
            </w:r>
            <w:proofErr w:type="spellStart"/>
            <w:r w:rsidRPr="00FC2ABE">
              <w:rPr>
                <w:color w:val="000000"/>
                <w:lang w:eastAsia="uk-UA"/>
              </w:rPr>
              <w:t>податок</w:t>
            </w:r>
            <w:proofErr w:type="spellEnd"/>
            <w:r w:rsidRPr="00FC2ABE">
              <w:rPr>
                <w:color w:val="000000"/>
                <w:lang w:eastAsia="uk-UA"/>
              </w:rPr>
              <w:t xml:space="preserve"> </w:t>
            </w:r>
            <w:proofErr w:type="spellStart"/>
            <w:r w:rsidRPr="00FC2ABE">
              <w:rPr>
                <w:color w:val="000000"/>
                <w:lang w:eastAsia="uk-UA"/>
              </w:rPr>
              <w:t>з</w:t>
            </w:r>
            <w:proofErr w:type="spellEnd"/>
            <w:r w:rsidRPr="00FC2ABE">
              <w:rPr>
                <w:color w:val="000000"/>
                <w:lang w:eastAsia="uk-UA"/>
              </w:rPr>
              <w:t xml:space="preserve"> </w:t>
            </w:r>
            <w:proofErr w:type="spellStart"/>
            <w:r w:rsidRPr="00FC2ABE">
              <w:rPr>
                <w:color w:val="000000"/>
                <w:lang w:eastAsia="uk-UA"/>
              </w:rPr>
              <w:t>вироблених</w:t>
            </w:r>
            <w:proofErr w:type="spellEnd"/>
            <w:r w:rsidRPr="00FC2ABE">
              <w:rPr>
                <w:color w:val="000000"/>
                <w:lang w:eastAsia="uk-UA"/>
              </w:rPr>
              <w:t xml:space="preserve"> в </w:t>
            </w:r>
            <w:proofErr w:type="spellStart"/>
            <w:r w:rsidRPr="00FC2ABE">
              <w:rPr>
                <w:color w:val="000000"/>
                <w:lang w:eastAsia="uk-UA"/>
              </w:rPr>
              <w:t>Україні</w:t>
            </w:r>
            <w:proofErr w:type="spellEnd"/>
            <w:r w:rsidRPr="00FC2ABE">
              <w:rPr>
                <w:color w:val="000000"/>
                <w:lang w:eastAsia="uk-UA"/>
              </w:rPr>
              <w:t xml:space="preserve"> </w:t>
            </w:r>
            <w:proofErr w:type="spellStart"/>
            <w:proofErr w:type="gramStart"/>
            <w:r w:rsidRPr="00FC2ABE">
              <w:rPr>
                <w:color w:val="000000"/>
                <w:lang w:eastAsia="uk-UA"/>
              </w:rPr>
              <w:t>п</w:t>
            </w:r>
            <w:proofErr w:type="gramEnd"/>
            <w:r w:rsidRPr="00FC2ABE">
              <w:rPr>
                <w:color w:val="000000"/>
                <w:lang w:eastAsia="uk-UA"/>
              </w:rPr>
              <w:t>ідакцизних</w:t>
            </w:r>
            <w:proofErr w:type="spellEnd"/>
            <w:r w:rsidRPr="00FC2ABE">
              <w:rPr>
                <w:color w:val="000000"/>
                <w:lang w:eastAsia="uk-UA"/>
              </w:rPr>
              <w:t xml:space="preserve"> </w:t>
            </w:r>
            <w:proofErr w:type="spellStart"/>
            <w:r w:rsidRPr="00FC2ABE">
              <w:rPr>
                <w:color w:val="000000"/>
                <w:lang w:eastAsia="uk-UA"/>
              </w:rPr>
              <w:t>товарів</w:t>
            </w:r>
            <w:proofErr w:type="spellEnd"/>
            <w:r w:rsidRPr="00FC2ABE">
              <w:rPr>
                <w:color w:val="000000"/>
                <w:lang w:eastAsia="uk-UA"/>
              </w:rPr>
              <w:t xml:space="preserve"> (</w:t>
            </w:r>
            <w:proofErr w:type="spellStart"/>
            <w:r w:rsidRPr="00FC2ABE">
              <w:rPr>
                <w:color w:val="000000"/>
                <w:lang w:eastAsia="uk-UA"/>
              </w:rPr>
              <w:t>продукції</w:t>
            </w:r>
            <w:proofErr w:type="spellEnd"/>
            <w:r w:rsidRPr="00FC2ABE">
              <w:rPr>
                <w:color w:val="000000"/>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707,8</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84,0</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85,2</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1,2</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101,5</w:t>
            </w:r>
          </w:p>
        </w:tc>
      </w:tr>
      <w:tr w:rsidR="00AA4361" w:rsidRPr="006F1C8F" w:rsidTr="00447AB1">
        <w:trPr>
          <w:gridAfter w:val="1"/>
          <w:wAfter w:w="285" w:type="dxa"/>
          <w:trHeight w:val="87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14030000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Акцизний</w:t>
            </w:r>
            <w:proofErr w:type="spellEnd"/>
            <w:r w:rsidRPr="00FC2ABE">
              <w:rPr>
                <w:color w:val="000000"/>
                <w:lang w:eastAsia="uk-UA"/>
              </w:rPr>
              <w:t xml:space="preserve"> </w:t>
            </w:r>
            <w:proofErr w:type="spellStart"/>
            <w:r w:rsidRPr="00FC2ABE">
              <w:rPr>
                <w:color w:val="000000"/>
                <w:lang w:eastAsia="uk-UA"/>
              </w:rPr>
              <w:t>податок</w:t>
            </w:r>
            <w:proofErr w:type="spellEnd"/>
            <w:r w:rsidRPr="00FC2ABE">
              <w:rPr>
                <w:color w:val="000000"/>
                <w:lang w:eastAsia="uk-UA"/>
              </w:rPr>
              <w:t xml:space="preserve"> </w:t>
            </w:r>
            <w:proofErr w:type="spellStart"/>
            <w:r w:rsidRPr="00FC2ABE">
              <w:rPr>
                <w:color w:val="000000"/>
                <w:lang w:eastAsia="uk-UA"/>
              </w:rPr>
              <w:t>з</w:t>
            </w:r>
            <w:proofErr w:type="spellEnd"/>
            <w:r w:rsidRPr="00FC2ABE">
              <w:rPr>
                <w:color w:val="000000"/>
                <w:lang w:eastAsia="uk-UA"/>
              </w:rPr>
              <w:t xml:space="preserve"> </w:t>
            </w:r>
            <w:proofErr w:type="spellStart"/>
            <w:r w:rsidRPr="00FC2ABE">
              <w:rPr>
                <w:color w:val="000000"/>
                <w:lang w:eastAsia="uk-UA"/>
              </w:rPr>
              <w:t>ввезених</w:t>
            </w:r>
            <w:proofErr w:type="spellEnd"/>
            <w:r w:rsidRPr="00FC2ABE">
              <w:rPr>
                <w:color w:val="000000"/>
                <w:lang w:eastAsia="uk-UA"/>
              </w:rPr>
              <w:t xml:space="preserve"> на </w:t>
            </w:r>
            <w:proofErr w:type="spellStart"/>
            <w:r w:rsidRPr="00FC2ABE">
              <w:rPr>
                <w:color w:val="000000"/>
                <w:lang w:eastAsia="uk-UA"/>
              </w:rPr>
              <w:t>митну</w:t>
            </w:r>
            <w:proofErr w:type="spellEnd"/>
            <w:r w:rsidRPr="00FC2ABE">
              <w:rPr>
                <w:color w:val="000000"/>
                <w:lang w:eastAsia="uk-UA"/>
              </w:rPr>
              <w:t xml:space="preserve"> </w:t>
            </w:r>
            <w:proofErr w:type="spellStart"/>
            <w:r w:rsidRPr="00FC2ABE">
              <w:rPr>
                <w:color w:val="000000"/>
                <w:lang w:eastAsia="uk-UA"/>
              </w:rPr>
              <w:t>територію</w:t>
            </w:r>
            <w:proofErr w:type="spellEnd"/>
            <w:r w:rsidRPr="00FC2ABE">
              <w:rPr>
                <w:color w:val="000000"/>
                <w:lang w:eastAsia="uk-UA"/>
              </w:rPr>
              <w:t xml:space="preserve"> </w:t>
            </w:r>
            <w:proofErr w:type="spellStart"/>
            <w:r w:rsidRPr="00FC2ABE">
              <w:rPr>
                <w:color w:val="000000"/>
                <w:lang w:eastAsia="uk-UA"/>
              </w:rPr>
              <w:t>України</w:t>
            </w:r>
            <w:proofErr w:type="spellEnd"/>
            <w:r w:rsidRPr="00FC2ABE">
              <w:rPr>
                <w:color w:val="000000"/>
                <w:lang w:eastAsia="uk-UA"/>
              </w:rPr>
              <w:t xml:space="preserve"> </w:t>
            </w:r>
            <w:proofErr w:type="spellStart"/>
            <w:proofErr w:type="gramStart"/>
            <w:r w:rsidRPr="00FC2ABE">
              <w:rPr>
                <w:color w:val="000000"/>
                <w:lang w:eastAsia="uk-UA"/>
              </w:rPr>
              <w:t>п</w:t>
            </w:r>
            <w:proofErr w:type="gramEnd"/>
            <w:r w:rsidRPr="00FC2ABE">
              <w:rPr>
                <w:color w:val="000000"/>
                <w:lang w:eastAsia="uk-UA"/>
              </w:rPr>
              <w:t>ідакцизних</w:t>
            </w:r>
            <w:proofErr w:type="spellEnd"/>
            <w:r w:rsidRPr="00FC2ABE">
              <w:rPr>
                <w:color w:val="000000"/>
                <w:lang w:eastAsia="uk-UA"/>
              </w:rPr>
              <w:t xml:space="preserve"> </w:t>
            </w:r>
            <w:proofErr w:type="spellStart"/>
            <w:r w:rsidRPr="00FC2ABE">
              <w:rPr>
                <w:color w:val="000000"/>
                <w:lang w:eastAsia="uk-UA"/>
              </w:rPr>
              <w:t>товарів</w:t>
            </w:r>
            <w:proofErr w:type="spellEnd"/>
            <w:r w:rsidRPr="00FC2ABE">
              <w:rPr>
                <w:color w:val="000000"/>
                <w:lang w:eastAsia="uk-UA"/>
              </w:rPr>
              <w:t xml:space="preserve"> (</w:t>
            </w:r>
            <w:proofErr w:type="spellStart"/>
            <w:r w:rsidRPr="00FC2ABE">
              <w:rPr>
                <w:color w:val="000000"/>
                <w:lang w:eastAsia="uk-UA"/>
              </w:rPr>
              <w:t>продукції</w:t>
            </w:r>
            <w:proofErr w:type="spellEnd"/>
            <w:r w:rsidRPr="00FC2ABE">
              <w:rPr>
                <w:color w:val="000000"/>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1668,5</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417,0</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505,0</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88,0</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121,1</w:t>
            </w:r>
          </w:p>
        </w:tc>
      </w:tr>
      <w:tr w:rsidR="00AA4361" w:rsidRPr="006F1C8F" w:rsidTr="00447AB1">
        <w:trPr>
          <w:gridAfter w:val="1"/>
          <w:wAfter w:w="285" w:type="dxa"/>
          <w:trHeight w:val="8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14040000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Акцизний</w:t>
            </w:r>
            <w:proofErr w:type="spellEnd"/>
            <w:r w:rsidRPr="00FC2ABE">
              <w:rPr>
                <w:color w:val="000000"/>
                <w:lang w:eastAsia="uk-UA"/>
              </w:rPr>
              <w:t xml:space="preserve"> </w:t>
            </w:r>
            <w:proofErr w:type="spellStart"/>
            <w:r w:rsidRPr="00FC2ABE">
              <w:rPr>
                <w:color w:val="000000"/>
                <w:lang w:eastAsia="uk-UA"/>
              </w:rPr>
              <w:t>податок</w:t>
            </w:r>
            <w:proofErr w:type="spellEnd"/>
            <w:r w:rsidRPr="00FC2ABE">
              <w:rPr>
                <w:color w:val="000000"/>
                <w:lang w:eastAsia="uk-UA"/>
              </w:rPr>
              <w:t xml:space="preserve"> </w:t>
            </w:r>
            <w:proofErr w:type="spellStart"/>
            <w:r w:rsidRPr="00FC2ABE">
              <w:rPr>
                <w:color w:val="000000"/>
                <w:lang w:eastAsia="uk-UA"/>
              </w:rPr>
              <w:t>з</w:t>
            </w:r>
            <w:proofErr w:type="spellEnd"/>
            <w:r w:rsidRPr="00FC2ABE">
              <w:rPr>
                <w:color w:val="000000"/>
                <w:lang w:eastAsia="uk-UA"/>
              </w:rPr>
              <w:t xml:space="preserve"> </w:t>
            </w:r>
            <w:proofErr w:type="spellStart"/>
            <w:r w:rsidRPr="00FC2ABE">
              <w:rPr>
                <w:color w:val="000000"/>
                <w:lang w:eastAsia="uk-UA"/>
              </w:rPr>
              <w:t>реалізації</w:t>
            </w:r>
            <w:proofErr w:type="spellEnd"/>
            <w:r w:rsidRPr="00FC2ABE">
              <w:rPr>
                <w:color w:val="000000"/>
                <w:lang w:eastAsia="uk-UA"/>
              </w:rPr>
              <w:t xml:space="preserve"> </w:t>
            </w:r>
            <w:proofErr w:type="spellStart"/>
            <w:r w:rsidRPr="00FC2ABE">
              <w:rPr>
                <w:color w:val="000000"/>
                <w:lang w:eastAsia="uk-UA"/>
              </w:rPr>
              <w:t>суб`єктами</w:t>
            </w:r>
            <w:proofErr w:type="spellEnd"/>
            <w:r w:rsidRPr="00FC2ABE">
              <w:rPr>
                <w:color w:val="000000"/>
                <w:lang w:eastAsia="uk-UA"/>
              </w:rPr>
              <w:t xml:space="preserve"> </w:t>
            </w:r>
            <w:proofErr w:type="spellStart"/>
            <w:r w:rsidRPr="00FC2ABE">
              <w:rPr>
                <w:color w:val="000000"/>
                <w:lang w:eastAsia="uk-UA"/>
              </w:rPr>
              <w:t>господарювання</w:t>
            </w:r>
            <w:proofErr w:type="spellEnd"/>
            <w:r w:rsidRPr="00FC2ABE">
              <w:rPr>
                <w:color w:val="000000"/>
                <w:lang w:eastAsia="uk-UA"/>
              </w:rPr>
              <w:t xml:space="preserve"> </w:t>
            </w:r>
            <w:proofErr w:type="spellStart"/>
            <w:r w:rsidRPr="00FC2ABE">
              <w:rPr>
                <w:color w:val="000000"/>
                <w:lang w:eastAsia="uk-UA"/>
              </w:rPr>
              <w:t>роздрібної</w:t>
            </w:r>
            <w:proofErr w:type="spellEnd"/>
            <w:r w:rsidRPr="00FC2ABE">
              <w:rPr>
                <w:color w:val="000000"/>
                <w:lang w:eastAsia="uk-UA"/>
              </w:rPr>
              <w:t xml:space="preserve"> </w:t>
            </w:r>
            <w:proofErr w:type="spellStart"/>
            <w:r w:rsidRPr="00FC2ABE">
              <w:rPr>
                <w:color w:val="000000"/>
                <w:lang w:eastAsia="uk-UA"/>
              </w:rPr>
              <w:t>торгі</w:t>
            </w:r>
            <w:proofErr w:type="gramStart"/>
            <w:r w:rsidRPr="00FC2ABE">
              <w:rPr>
                <w:color w:val="000000"/>
                <w:lang w:eastAsia="uk-UA"/>
              </w:rPr>
              <w:t>вл</w:t>
            </w:r>
            <w:proofErr w:type="gramEnd"/>
            <w:r w:rsidRPr="00FC2ABE">
              <w:rPr>
                <w:color w:val="000000"/>
                <w:lang w:eastAsia="uk-UA"/>
              </w:rPr>
              <w:t>і</w:t>
            </w:r>
            <w:proofErr w:type="spellEnd"/>
            <w:r w:rsidRPr="00FC2ABE">
              <w:rPr>
                <w:color w:val="000000"/>
                <w:lang w:eastAsia="uk-UA"/>
              </w:rPr>
              <w:t xml:space="preserve"> </w:t>
            </w:r>
            <w:proofErr w:type="spellStart"/>
            <w:r w:rsidRPr="00FC2ABE">
              <w:rPr>
                <w:color w:val="000000"/>
                <w:lang w:eastAsia="uk-UA"/>
              </w:rPr>
              <w:t>підакцизних</w:t>
            </w:r>
            <w:proofErr w:type="spellEnd"/>
            <w:r w:rsidRPr="00FC2ABE">
              <w:rPr>
                <w:color w:val="000000"/>
                <w:lang w:eastAsia="uk-UA"/>
              </w:rPr>
              <w:t xml:space="preserve"> </w:t>
            </w:r>
            <w:proofErr w:type="spellStart"/>
            <w:r w:rsidRPr="00FC2ABE">
              <w:rPr>
                <w:color w:val="000000"/>
                <w:lang w:eastAsia="uk-UA"/>
              </w:rPr>
              <w:t>товарів</w:t>
            </w:r>
            <w:proofErr w:type="spellEnd"/>
            <w:r w:rsidRPr="00FC2ABE">
              <w:rPr>
                <w:color w:val="000000"/>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1560,0</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274,4</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320,2</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45,8</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116,7</w:t>
            </w:r>
          </w:p>
        </w:tc>
      </w:tr>
      <w:tr w:rsidR="00AA4361" w:rsidRPr="006F1C8F" w:rsidTr="00447AB1">
        <w:trPr>
          <w:gridAfter w:val="1"/>
          <w:wAfter w:w="285" w:type="dxa"/>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18010000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Податок</w:t>
            </w:r>
            <w:proofErr w:type="spellEnd"/>
            <w:r w:rsidRPr="00FC2ABE">
              <w:rPr>
                <w:color w:val="000000"/>
                <w:lang w:eastAsia="uk-UA"/>
              </w:rPr>
              <w:t xml:space="preserve"> на </w:t>
            </w:r>
            <w:proofErr w:type="spellStart"/>
            <w:r w:rsidRPr="00FC2ABE">
              <w:rPr>
                <w:color w:val="000000"/>
                <w:lang w:eastAsia="uk-UA"/>
              </w:rPr>
              <w:t>майно</w:t>
            </w:r>
            <w:proofErr w:type="spellEnd"/>
            <w:r w:rsidRPr="00FC2ABE">
              <w:rPr>
                <w:color w:val="000000"/>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38058,4</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691,3</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1357,6</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666,3</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196,4</w:t>
            </w:r>
          </w:p>
        </w:tc>
      </w:tr>
      <w:tr w:rsidR="00AA4361" w:rsidRPr="006F1C8F" w:rsidTr="00447AB1">
        <w:trPr>
          <w:gridAfter w:val="1"/>
          <w:wAfter w:w="285" w:type="dxa"/>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18030000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Туристичний</w:t>
            </w:r>
            <w:proofErr w:type="spellEnd"/>
            <w:r w:rsidRPr="00FC2ABE">
              <w:rPr>
                <w:color w:val="000000"/>
                <w:lang w:eastAsia="uk-UA"/>
              </w:rPr>
              <w:t xml:space="preserve"> </w:t>
            </w:r>
            <w:proofErr w:type="spellStart"/>
            <w:r w:rsidRPr="00FC2ABE">
              <w:rPr>
                <w:color w:val="000000"/>
                <w:lang w:eastAsia="uk-UA"/>
              </w:rPr>
              <w:t>збі</w:t>
            </w:r>
            <w:proofErr w:type="gramStart"/>
            <w:r w:rsidRPr="00FC2ABE">
              <w:rPr>
                <w:color w:val="000000"/>
                <w:lang w:eastAsia="uk-UA"/>
              </w:rPr>
              <w:t>р</w:t>
            </w:r>
            <w:proofErr w:type="spellEnd"/>
            <w:proofErr w:type="gramEnd"/>
            <w:r w:rsidRPr="00FC2ABE">
              <w:rPr>
                <w:color w:val="000000"/>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160,0</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49,0</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53,1</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4,1</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108,5</w:t>
            </w:r>
          </w:p>
        </w:tc>
      </w:tr>
      <w:tr w:rsidR="00AA4361" w:rsidRPr="006F1C8F" w:rsidTr="00447AB1">
        <w:trPr>
          <w:gridAfter w:val="1"/>
          <w:wAfter w:w="285" w:type="dxa"/>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18050000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Єдиний</w:t>
            </w:r>
            <w:proofErr w:type="spellEnd"/>
            <w:r w:rsidRPr="00FC2ABE">
              <w:rPr>
                <w:color w:val="000000"/>
                <w:lang w:eastAsia="uk-UA"/>
              </w:rPr>
              <w:t xml:space="preserve"> </w:t>
            </w:r>
            <w:proofErr w:type="spellStart"/>
            <w:r w:rsidRPr="00FC2ABE">
              <w:rPr>
                <w:color w:val="000000"/>
                <w:lang w:eastAsia="uk-UA"/>
              </w:rPr>
              <w:t>податок</w:t>
            </w:r>
            <w:proofErr w:type="spellEnd"/>
            <w:r w:rsidRPr="00FC2ABE">
              <w:rPr>
                <w:color w:val="000000"/>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6484,8</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1402,9</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1934,4</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531,5</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137,9</w:t>
            </w:r>
          </w:p>
        </w:tc>
      </w:tr>
      <w:tr w:rsidR="00AA4361" w:rsidRPr="006F1C8F" w:rsidTr="00447AB1">
        <w:trPr>
          <w:gridAfter w:val="1"/>
          <w:wAfter w:w="285" w:type="dxa"/>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21080000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Інші</w:t>
            </w:r>
            <w:proofErr w:type="spellEnd"/>
            <w:r w:rsidRPr="00FC2ABE">
              <w:rPr>
                <w:color w:val="000000"/>
                <w:lang w:eastAsia="uk-UA"/>
              </w:rPr>
              <w:t xml:space="preserve"> </w:t>
            </w:r>
            <w:proofErr w:type="spellStart"/>
            <w:r w:rsidRPr="00FC2ABE">
              <w:rPr>
                <w:color w:val="000000"/>
                <w:lang w:eastAsia="uk-UA"/>
              </w:rPr>
              <w:t>надходження</w:t>
            </w:r>
            <w:proofErr w:type="spellEnd"/>
            <w:r w:rsidRPr="00FC2ABE">
              <w:rPr>
                <w:color w:val="000000"/>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70,0</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6,4</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33,9</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27,5</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525,9</w:t>
            </w:r>
          </w:p>
        </w:tc>
      </w:tr>
      <w:tr w:rsidR="00AA4361" w:rsidRPr="006F1C8F" w:rsidTr="00447AB1">
        <w:trPr>
          <w:gridAfter w:val="1"/>
          <w:wAfter w:w="285" w:type="dxa"/>
          <w:trHeight w:val="48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22010000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r w:rsidRPr="00FC2ABE">
              <w:rPr>
                <w:color w:val="000000"/>
                <w:lang w:eastAsia="uk-UA"/>
              </w:rPr>
              <w:t xml:space="preserve">Плата за </w:t>
            </w:r>
            <w:proofErr w:type="spellStart"/>
            <w:r w:rsidRPr="00FC2ABE">
              <w:rPr>
                <w:color w:val="000000"/>
                <w:lang w:eastAsia="uk-UA"/>
              </w:rPr>
              <w:t>надання</w:t>
            </w:r>
            <w:proofErr w:type="spellEnd"/>
            <w:r w:rsidRPr="00FC2ABE">
              <w:rPr>
                <w:color w:val="000000"/>
                <w:lang w:eastAsia="uk-UA"/>
              </w:rPr>
              <w:t xml:space="preserve"> </w:t>
            </w:r>
            <w:proofErr w:type="spellStart"/>
            <w:r w:rsidRPr="00FC2ABE">
              <w:rPr>
                <w:color w:val="000000"/>
                <w:lang w:eastAsia="uk-UA"/>
              </w:rPr>
              <w:t>адміністративних</w:t>
            </w:r>
            <w:proofErr w:type="spellEnd"/>
            <w:r w:rsidRPr="00FC2ABE">
              <w:rPr>
                <w:color w:val="000000"/>
                <w:lang w:eastAsia="uk-UA"/>
              </w:rPr>
              <w:t xml:space="preserve"> </w:t>
            </w:r>
            <w:proofErr w:type="spellStart"/>
            <w:r w:rsidRPr="00FC2ABE">
              <w:rPr>
                <w:color w:val="000000"/>
                <w:lang w:eastAsia="uk-UA"/>
              </w:rPr>
              <w:t>послуг</w:t>
            </w:r>
            <w:proofErr w:type="spellEnd"/>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1148,6</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287,1</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332,4</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45,3</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115,8</w:t>
            </w:r>
          </w:p>
        </w:tc>
      </w:tr>
      <w:tr w:rsidR="00AA4361" w:rsidRPr="006F1C8F" w:rsidTr="00447AB1">
        <w:trPr>
          <w:gridAfter w:val="1"/>
          <w:wAfter w:w="285" w:type="dxa"/>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22090000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Державне</w:t>
            </w:r>
            <w:proofErr w:type="spellEnd"/>
            <w:r w:rsidRPr="00FC2ABE">
              <w:rPr>
                <w:color w:val="000000"/>
                <w:lang w:eastAsia="uk-UA"/>
              </w:rPr>
              <w:t xml:space="preserve"> </w:t>
            </w:r>
            <w:proofErr w:type="spellStart"/>
            <w:r w:rsidRPr="00FC2ABE">
              <w:rPr>
                <w:color w:val="000000"/>
                <w:lang w:eastAsia="uk-UA"/>
              </w:rPr>
              <w:t>мито</w:t>
            </w:r>
            <w:proofErr w:type="spellEnd"/>
            <w:r w:rsidRPr="00FC2ABE">
              <w:rPr>
                <w:color w:val="000000"/>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35,0</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6,2</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2,4</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-3,8</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38,4</w:t>
            </w:r>
          </w:p>
        </w:tc>
      </w:tr>
      <w:tr w:rsidR="00AA4361" w:rsidRPr="006F1C8F" w:rsidTr="00447AB1">
        <w:trPr>
          <w:gridAfter w:val="1"/>
          <w:wAfter w:w="285" w:type="dxa"/>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24060000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Інші</w:t>
            </w:r>
            <w:proofErr w:type="spellEnd"/>
            <w:r w:rsidRPr="00FC2ABE">
              <w:rPr>
                <w:color w:val="000000"/>
                <w:lang w:eastAsia="uk-UA"/>
              </w:rPr>
              <w:t xml:space="preserve"> </w:t>
            </w:r>
            <w:proofErr w:type="spellStart"/>
            <w:r w:rsidRPr="00FC2ABE">
              <w:rPr>
                <w:color w:val="000000"/>
                <w:lang w:eastAsia="uk-UA"/>
              </w:rPr>
              <w:t>надходження</w:t>
            </w:r>
            <w:proofErr w:type="spellEnd"/>
            <w:r w:rsidRPr="00FC2ABE">
              <w:rPr>
                <w:color w:val="000000"/>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123,3</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14,3</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41,9</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27,6</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293,3</w:t>
            </w:r>
          </w:p>
        </w:tc>
      </w:tr>
      <w:tr w:rsidR="00AA4361" w:rsidRPr="006F1C8F" w:rsidTr="00447AB1">
        <w:trPr>
          <w:gridAfter w:val="1"/>
          <w:wAfter w:w="285" w:type="dxa"/>
          <w:trHeight w:val="48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41020000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Дотації</w:t>
            </w:r>
            <w:proofErr w:type="spellEnd"/>
            <w:r w:rsidRPr="00FC2ABE">
              <w:rPr>
                <w:color w:val="000000"/>
                <w:lang w:eastAsia="uk-UA"/>
              </w:rPr>
              <w:t xml:space="preserve"> </w:t>
            </w:r>
            <w:proofErr w:type="spellStart"/>
            <w:r w:rsidRPr="00FC2ABE">
              <w:rPr>
                <w:color w:val="000000"/>
                <w:lang w:eastAsia="uk-UA"/>
              </w:rPr>
              <w:t>з</w:t>
            </w:r>
            <w:proofErr w:type="spellEnd"/>
            <w:r w:rsidRPr="00FC2ABE">
              <w:rPr>
                <w:color w:val="000000"/>
                <w:lang w:eastAsia="uk-UA"/>
              </w:rPr>
              <w:t xml:space="preserve"> </w:t>
            </w:r>
            <w:proofErr w:type="gramStart"/>
            <w:r w:rsidRPr="00FC2ABE">
              <w:rPr>
                <w:color w:val="000000"/>
                <w:lang w:eastAsia="uk-UA"/>
              </w:rPr>
              <w:t>державного</w:t>
            </w:r>
            <w:proofErr w:type="gramEnd"/>
            <w:r w:rsidRPr="00FC2ABE">
              <w:rPr>
                <w:color w:val="000000"/>
                <w:lang w:eastAsia="uk-UA"/>
              </w:rPr>
              <w:t xml:space="preserve"> бюджету </w:t>
            </w:r>
            <w:proofErr w:type="spellStart"/>
            <w:r w:rsidRPr="00FC2ABE">
              <w:rPr>
                <w:color w:val="000000"/>
                <w:lang w:eastAsia="uk-UA"/>
              </w:rPr>
              <w:t>місцевим</w:t>
            </w:r>
            <w:proofErr w:type="spellEnd"/>
            <w:r w:rsidRPr="00FC2ABE">
              <w:rPr>
                <w:color w:val="000000"/>
                <w:lang w:eastAsia="uk-UA"/>
              </w:rPr>
              <w:t xml:space="preserve"> бюджетам</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37249,5</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9312,3</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9312,3</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sidRPr="00FC2ABE">
              <w:rPr>
                <w:b/>
                <w:bCs/>
                <w:color w:val="000000"/>
                <w:lang w:eastAsia="uk-UA"/>
              </w:rPr>
              <w:t>0,0</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sidRPr="00FC2ABE">
              <w:rPr>
                <w:b/>
                <w:bCs/>
                <w:color w:val="000000"/>
                <w:lang w:eastAsia="uk-UA"/>
              </w:rPr>
              <w:t>100,0</w:t>
            </w:r>
          </w:p>
        </w:tc>
      </w:tr>
      <w:tr w:rsidR="00AA4361" w:rsidRPr="006F1C8F" w:rsidTr="00447AB1">
        <w:trPr>
          <w:gridAfter w:val="1"/>
          <w:wAfter w:w="285" w:type="dxa"/>
          <w:trHeight w:val="48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41030000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Субвенції</w:t>
            </w:r>
            <w:proofErr w:type="spellEnd"/>
            <w:r w:rsidRPr="00FC2ABE">
              <w:rPr>
                <w:color w:val="000000"/>
                <w:lang w:eastAsia="uk-UA"/>
              </w:rPr>
              <w:t xml:space="preserve"> </w:t>
            </w:r>
            <w:proofErr w:type="spellStart"/>
            <w:r w:rsidRPr="00FC2ABE">
              <w:rPr>
                <w:color w:val="000000"/>
                <w:lang w:eastAsia="uk-UA"/>
              </w:rPr>
              <w:t>з</w:t>
            </w:r>
            <w:proofErr w:type="spellEnd"/>
            <w:r w:rsidRPr="00FC2ABE">
              <w:rPr>
                <w:color w:val="000000"/>
                <w:lang w:eastAsia="uk-UA"/>
              </w:rPr>
              <w:t xml:space="preserve"> </w:t>
            </w:r>
            <w:proofErr w:type="gramStart"/>
            <w:r w:rsidRPr="00FC2ABE">
              <w:rPr>
                <w:color w:val="000000"/>
                <w:lang w:eastAsia="uk-UA"/>
              </w:rPr>
              <w:t>державного</w:t>
            </w:r>
            <w:proofErr w:type="gramEnd"/>
            <w:r w:rsidRPr="00FC2ABE">
              <w:rPr>
                <w:color w:val="000000"/>
                <w:lang w:eastAsia="uk-UA"/>
              </w:rPr>
              <w:t xml:space="preserve"> бюджету </w:t>
            </w:r>
            <w:proofErr w:type="spellStart"/>
            <w:r w:rsidRPr="00FC2ABE">
              <w:rPr>
                <w:color w:val="000000"/>
                <w:lang w:eastAsia="uk-UA"/>
              </w:rPr>
              <w:t>місцевим</w:t>
            </w:r>
            <w:proofErr w:type="spellEnd"/>
            <w:r w:rsidRPr="00FC2ABE">
              <w:rPr>
                <w:color w:val="000000"/>
                <w:lang w:eastAsia="uk-UA"/>
              </w:rPr>
              <w:t xml:space="preserve"> бюджетам</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114323,5</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26807,9</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26807,9</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sidRPr="00FC2ABE">
              <w:rPr>
                <w:b/>
                <w:bCs/>
                <w:color w:val="000000"/>
                <w:lang w:eastAsia="uk-UA"/>
              </w:rPr>
              <w:t>0,0</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sidRPr="00FC2ABE">
              <w:rPr>
                <w:b/>
                <w:bCs/>
                <w:color w:val="000000"/>
                <w:lang w:eastAsia="uk-UA"/>
              </w:rPr>
              <w:t>100,0</w:t>
            </w:r>
          </w:p>
        </w:tc>
      </w:tr>
      <w:tr w:rsidR="00AA4361" w:rsidRPr="006F1C8F" w:rsidTr="00447AB1">
        <w:trPr>
          <w:gridAfter w:val="1"/>
          <w:wAfter w:w="285" w:type="dxa"/>
          <w:trHeight w:val="54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41040000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Дотації</w:t>
            </w:r>
            <w:proofErr w:type="spellEnd"/>
            <w:r w:rsidRPr="00FC2ABE">
              <w:rPr>
                <w:color w:val="000000"/>
                <w:lang w:eastAsia="uk-UA"/>
              </w:rPr>
              <w:t xml:space="preserve"> </w:t>
            </w:r>
            <w:proofErr w:type="spellStart"/>
            <w:r w:rsidRPr="00FC2ABE">
              <w:rPr>
                <w:color w:val="000000"/>
                <w:lang w:eastAsia="uk-UA"/>
              </w:rPr>
              <w:t>з</w:t>
            </w:r>
            <w:proofErr w:type="spellEnd"/>
            <w:r w:rsidRPr="00FC2ABE">
              <w:rPr>
                <w:color w:val="000000"/>
                <w:lang w:eastAsia="uk-UA"/>
              </w:rPr>
              <w:t xml:space="preserve"> </w:t>
            </w:r>
            <w:proofErr w:type="spellStart"/>
            <w:r w:rsidRPr="00FC2ABE">
              <w:rPr>
                <w:color w:val="000000"/>
                <w:lang w:eastAsia="uk-UA"/>
              </w:rPr>
              <w:t>місцевих</w:t>
            </w:r>
            <w:proofErr w:type="spellEnd"/>
            <w:r w:rsidRPr="00FC2ABE">
              <w:rPr>
                <w:color w:val="000000"/>
                <w:lang w:eastAsia="uk-UA"/>
              </w:rPr>
              <w:t xml:space="preserve"> </w:t>
            </w:r>
            <w:proofErr w:type="spellStart"/>
            <w:r w:rsidRPr="00FC2ABE">
              <w:rPr>
                <w:color w:val="000000"/>
                <w:lang w:eastAsia="uk-UA"/>
              </w:rPr>
              <w:t>бюджетів</w:t>
            </w:r>
            <w:proofErr w:type="spellEnd"/>
            <w:r w:rsidRPr="00FC2ABE">
              <w:rPr>
                <w:color w:val="000000"/>
                <w:lang w:eastAsia="uk-UA"/>
              </w:rPr>
              <w:t xml:space="preserve"> </w:t>
            </w:r>
            <w:proofErr w:type="spellStart"/>
            <w:r w:rsidRPr="00FC2ABE">
              <w:rPr>
                <w:color w:val="000000"/>
                <w:lang w:eastAsia="uk-UA"/>
              </w:rPr>
              <w:t>іншим</w:t>
            </w:r>
            <w:proofErr w:type="spellEnd"/>
            <w:r w:rsidRPr="00FC2ABE">
              <w:rPr>
                <w:color w:val="000000"/>
                <w:lang w:eastAsia="uk-UA"/>
              </w:rPr>
              <w:t xml:space="preserve"> </w:t>
            </w:r>
            <w:proofErr w:type="spellStart"/>
            <w:r w:rsidRPr="00FC2ABE">
              <w:rPr>
                <w:color w:val="000000"/>
                <w:lang w:eastAsia="uk-UA"/>
              </w:rPr>
              <w:t>місцевим</w:t>
            </w:r>
            <w:proofErr w:type="spellEnd"/>
            <w:r w:rsidRPr="00FC2ABE">
              <w:rPr>
                <w:color w:val="000000"/>
                <w:lang w:eastAsia="uk-UA"/>
              </w:rPr>
              <w:t xml:space="preserve"> бюджетам</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2170,1</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542,6</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542,6</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sidRPr="00FC2ABE">
              <w:rPr>
                <w:b/>
                <w:bCs/>
                <w:color w:val="000000"/>
                <w:lang w:eastAsia="uk-UA"/>
              </w:rPr>
              <w:t>0,0</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sidRPr="00FC2ABE">
              <w:rPr>
                <w:b/>
                <w:bCs/>
                <w:color w:val="000000"/>
                <w:lang w:eastAsia="uk-UA"/>
              </w:rPr>
              <w:t>100,0</w:t>
            </w:r>
          </w:p>
        </w:tc>
      </w:tr>
      <w:tr w:rsidR="00AA4361" w:rsidRPr="006F1C8F" w:rsidTr="00447AB1">
        <w:trPr>
          <w:gridAfter w:val="1"/>
          <w:wAfter w:w="285" w:type="dxa"/>
          <w:trHeight w:val="52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sidRPr="00FC2ABE">
              <w:rPr>
                <w:color w:val="000000"/>
                <w:lang w:eastAsia="uk-UA"/>
              </w:rPr>
              <w:t>41050000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FC2ABE" w:rsidRDefault="00AA4361" w:rsidP="00447AB1">
            <w:pPr>
              <w:rPr>
                <w:color w:val="000000"/>
                <w:lang w:eastAsia="uk-UA"/>
              </w:rPr>
            </w:pPr>
            <w:proofErr w:type="spellStart"/>
            <w:r w:rsidRPr="00FC2ABE">
              <w:rPr>
                <w:color w:val="000000"/>
                <w:lang w:eastAsia="uk-UA"/>
              </w:rPr>
              <w:t>Субвенції</w:t>
            </w:r>
            <w:proofErr w:type="spellEnd"/>
            <w:r w:rsidRPr="00FC2ABE">
              <w:rPr>
                <w:color w:val="000000"/>
                <w:lang w:eastAsia="uk-UA"/>
              </w:rPr>
              <w:t xml:space="preserve"> </w:t>
            </w:r>
            <w:proofErr w:type="spellStart"/>
            <w:r w:rsidRPr="00FC2ABE">
              <w:rPr>
                <w:color w:val="000000"/>
                <w:lang w:eastAsia="uk-UA"/>
              </w:rPr>
              <w:t>з</w:t>
            </w:r>
            <w:proofErr w:type="spellEnd"/>
            <w:r w:rsidRPr="00FC2ABE">
              <w:rPr>
                <w:color w:val="000000"/>
                <w:lang w:eastAsia="uk-UA"/>
              </w:rPr>
              <w:t xml:space="preserve"> </w:t>
            </w:r>
            <w:proofErr w:type="spellStart"/>
            <w:r w:rsidRPr="00FC2ABE">
              <w:rPr>
                <w:color w:val="000000"/>
                <w:lang w:eastAsia="uk-UA"/>
              </w:rPr>
              <w:t>місцевих</w:t>
            </w:r>
            <w:proofErr w:type="spellEnd"/>
            <w:r w:rsidRPr="00FC2ABE">
              <w:rPr>
                <w:color w:val="000000"/>
                <w:lang w:eastAsia="uk-UA"/>
              </w:rPr>
              <w:t xml:space="preserve"> </w:t>
            </w:r>
            <w:proofErr w:type="spellStart"/>
            <w:r w:rsidRPr="00FC2ABE">
              <w:rPr>
                <w:color w:val="000000"/>
                <w:lang w:eastAsia="uk-UA"/>
              </w:rPr>
              <w:t>бюджетів</w:t>
            </w:r>
            <w:proofErr w:type="spellEnd"/>
            <w:r w:rsidRPr="00FC2ABE">
              <w:rPr>
                <w:color w:val="000000"/>
                <w:lang w:eastAsia="uk-UA"/>
              </w:rPr>
              <w:t xml:space="preserve"> </w:t>
            </w:r>
            <w:proofErr w:type="spellStart"/>
            <w:r w:rsidRPr="00FC2ABE">
              <w:rPr>
                <w:color w:val="000000"/>
                <w:lang w:eastAsia="uk-UA"/>
              </w:rPr>
              <w:t>іншим</w:t>
            </w:r>
            <w:proofErr w:type="spellEnd"/>
            <w:r w:rsidRPr="00FC2ABE">
              <w:rPr>
                <w:color w:val="000000"/>
                <w:lang w:eastAsia="uk-UA"/>
              </w:rPr>
              <w:t xml:space="preserve"> </w:t>
            </w:r>
            <w:proofErr w:type="spellStart"/>
            <w:r w:rsidRPr="00FC2ABE">
              <w:rPr>
                <w:color w:val="000000"/>
                <w:lang w:eastAsia="uk-UA"/>
              </w:rPr>
              <w:t>місцевим</w:t>
            </w:r>
            <w:proofErr w:type="spellEnd"/>
            <w:r w:rsidRPr="00FC2ABE">
              <w:rPr>
                <w:color w:val="000000"/>
                <w:lang w:eastAsia="uk-UA"/>
              </w:rPr>
              <w:t xml:space="preserve"> бюджетам</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3802,3</w:t>
            </w:r>
          </w:p>
        </w:tc>
        <w:tc>
          <w:tcPr>
            <w:tcW w:w="1275" w:type="dxa"/>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2129,8</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AA4361" w:rsidRPr="00FC2ABE" w:rsidRDefault="00AA4361" w:rsidP="00447AB1">
            <w:pPr>
              <w:jc w:val="center"/>
              <w:rPr>
                <w:color w:val="000000"/>
                <w:lang w:eastAsia="uk-UA"/>
              </w:rPr>
            </w:pPr>
            <w:r>
              <w:rPr>
                <w:color w:val="000000"/>
                <w:lang w:eastAsia="uk-UA"/>
              </w:rPr>
              <w:t>888,9</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-1240,9</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41,7</w:t>
            </w:r>
          </w:p>
        </w:tc>
      </w:tr>
      <w:tr w:rsidR="00AA4361" w:rsidRPr="006F1C8F" w:rsidTr="00447AB1">
        <w:trPr>
          <w:gridAfter w:val="1"/>
          <w:wAfter w:w="285" w:type="dxa"/>
          <w:trHeight w:val="375"/>
        </w:trPr>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sidRPr="00FC2ABE">
              <w:rPr>
                <w:b/>
                <w:bCs/>
                <w:color w:val="000000"/>
                <w:lang w:eastAsia="uk-U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AA4361" w:rsidRPr="00FC2ABE" w:rsidRDefault="00AA4361" w:rsidP="00447AB1">
            <w:pPr>
              <w:rPr>
                <w:b/>
                <w:bCs/>
                <w:color w:val="000000"/>
                <w:lang w:eastAsia="uk-UA"/>
              </w:rPr>
            </w:pPr>
            <w:proofErr w:type="spellStart"/>
            <w:r w:rsidRPr="00FC2ABE">
              <w:rPr>
                <w:b/>
                <w:bCs/>
                <w:color w:val="000000"/>
                <w:lang w:eastAsia="uk-UA"/>
              </w:rPr>
              <w:t>Усього</w:t>
            </w:r>
            <w:proofErr w:type="spellEnd"/>
            <w:r w:rsidRPr="00FC2ABE">
              <w:rPr>
                <w:b/>
                <w:bCs/>
                <w:color w:val="000000"/>
                <w:lang w:eastAsia="uk-UA"/>
              </w:rPr>
              <w:t xml:space="preserve"> </w:t>
            </w:r>
            <w:proofErr w:type="gramStart"/>
            <w:r w:rsidRPr="00FC2ABE">
              <w:rPr>
                <w:b/>
                <w:bCs/>
                <w:color w:val="000000"/>
                <w:lang w:eastAsia="uk-UA"/>
              </w:rPr>
              <w:t xml:space="preserve">( </w:t>
            </w:r>
            <w:proofErr w:type="gramEnd"/>
            <w:r w:rsidRPr="00FC2ABE">
              <w:rPr>
                <w:b/>
                <w:bCs/>
                <w:color w:val="000000"/>
                <w:lang w:eastAsia="uk-UA"/>
              </w:rPr>
              <w:t xml:space="preserve">без </w:t>
            </w:r>
            <w:proofErr w:type="spellStart"/>
            <w:r w:rsidRPr="00FC2ABE">
              <w:rPr>
                <w:b/>
                <w:bCs/>
                <w:color w:val="000000"/>
                <w:lang w:eastAsia="uk-UA"/>
              </w:rPr>
              <w:t>урахування</w:t>
            </w:r>
            <w:proofErr w:type="spellEnd"/>
            <w:r w:rsidRPr="00FC2ABE">
              <w:rPr>
                <w:b/>
                <w:bCs/>
                <w:color w:val="000000"/>
                <w:lang w:eastAsia="uk-UA"/>
              </w:rPr>
              <w:t xml:space="preserve"> </w:t>
            </w:r>
            <w:proofErr w:type="spellStart"/>
            <w:r w:rsidRPr="00FC2ABE">
              <w:rPr>
                <w:b/>
                <w:bCs/>
                <w:color w:val="000000"/>
                <w:lang w:eastAsia="uk-UA"/>
              </w:rPr>
              <w:t>трансфертів</w:t>
            </w:r>
            <w:proofErr w:type="spellEnd"/>
            <w:r w:rsidRPr="00FC2ABE">
              <w:rPr>
                <w:b/>
                <w:bCs/>
                <w:color w:val="000000"/>
                <w:lang w:eastAsia="uk-UA"/>
              </w:rPr>
              <w:t xml:space="preserve">) </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70897,0</w:t>
            </w:r>
          </w:p>
        </w:tc>
        <w:tc>
          <w:tcPr>
            <w:tcW w:w="12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16456,0</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17409,1</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953,2</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105,8</w:t>
            </w:r>
          </w:p>
        </w:tc>
      </w:tr>
      <w:tr w:rsidR="00AA4361" w:rsidRPr="006F1C8F" w:rsidTr="00447AB1">
        <w:trPr>
          <w:gridAfter w:val="1"/>
          <w:wAfter w:w="285" w:type="dxa"/>
          <w:trHeight w:val="375"/>
        </w:trPr>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sidRPr="00FC2ABE">
              <w:rPr>
                <w:b/>
                <w:bCs/>
                <w:color w:val="000000"/>
                <w:lang w:eastAsia="uk-UA"/>
              </w:rPr>
              <w:t xml:space="preserve"> </w:t>
            </w:r>
          </w:p>
        </w:tc>
        <w:tc>
          <w:tcPr>
            <w:tcW w:w="3402"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AA4361" w:rsidRPr="00FC2ABE" w:rsidRDefault="00AA4361" w:rsidP="00447AB1">
            <w:pPr>
              <w:rPr>
                <w:b/>
                <w:bCs/>
                <w:color w:val="000000"/>
                <w:lang w:eastAsia="uk-UA"/>
              </w:rPr>
            </w:pPr>
            <w:proofErr w:type="spellStart"/>
            <w:r w:rsidRPr="00FC2ABE">
              <w:rPr>
                <w:b/>
                <w:bCs/>
                <w:color w:val="000000"/>
                <w:lang w:eastAsia="uk-UA"/>
              </w:rPr>
              <w:t>Усього</w:t>
            </w:r>
            <w:proofErr w:type="spellEnd"/>
            <w:r w:rsidRPr="00FC2ABE">
              <w:rPr>
                <w:b/>
                <w:bCs/>
                <w:color w:val="000000"/>
                <w:lang w:eastAsia="uk-UA"/>
              </w:rPr>
              <w:t xml:space="preserve"> </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228442,4</w:t>
            </w:r>
          </w:p>
        </w:tc>
        <w:tc>
          <w:tcPr>
            <w:tcW w:w="12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55248,6</w:t>
            </w:r>
          </w:p>
        </w:tc>
        <w:tc>
          <w:tcPr>
            <w:tcW w:w="1416"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54960,8</w:t>
            </w:r>
          </w:p>
        </w:tc>
        <w:tc>
          <w:tcPr>
            <w:tcW w:w="992"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-287,8</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color w:val="000000"/>
                <w:lang w:eastAsia="uk-UA"/>
              </w:rPr>
            </w:pPr>
            <w:r>
              <w:rPr>
                <w:b/>
                <w:bCs/>
                <w:color w:val="000000"/>
                <w:lang w:eastAsia="uk-UA"/>
              </w:rPr>
              <w:t>99,5</w:t>
            </w:r>
          </w:p>
        </w:tc>
      </w:tr>
      <w:tr w:rsidR="00AA4361" w:rsidRPr="006F1C8F" w:rsidTr="00447AB1">
        <w:trPr>
          <w:gridAfter w:val="1"/>
          <w:wAfter w:w="285" w:type="dxa"/>
          <w:trHeight w:val="375"/>
        </w:trPr>
        <w:tc>
          <w:tcPr>
            <w:tcW w:w="1276" w:type="dxa"/>
            <w:tcBorders>
              <w:top w:val="nil"/>
              <w:left w:val="nil"/>
              <w:bottom w:val="nil"/>
              <w:right w:val="nil"/>
            </w:tcBorders>
            <w:shd w:val="clear" w:color="auto" w:fill="auto"/>
            <w:noWrap/>
            <w:vAlign w:val="bottom"/>
            <w:hideMark/>
          </w:tcPr>
          <w:p w:rsidR="00AA4361" w:rsidRPr="006F1C8F" w:rsidRDefault="00AA4361" w:rsidP="00447AB1">
            <w:pPr>
              <w:jc w:val="center"/>
              <w:rPr>
                <w:color w:val="000000"/>
                <w:sz w:val="20"/>
                <w:szCs w:val="20"/>
                <w:lang w:eastAsia="uk-UA"/>
              </w:rPr>
            </w:pPr>
          </w:p>
        </w:tc>
        <w:tc>
          <w:tcPr>
            <w:tcW w:w="3402" w:type="dxa"/>
            <w:tcBorders>
              <w:top w:val="nil"/>
              <w:left w:val="nil"/>
              <w:bottom w:val="nil"/>
              <w:right w:val="nil"/>
            </w:tcBorders>
            <w:shd w:val="clear" w:color="auto" w:fill="auto"/>
            <w:vAlign w:val="bottom"/>
            <w:hideMark/>
          </w:tcPr>
          <w:p w:rsidR="00AA4361" w:rsidRPr="006F1C8F" w:rsidRDefault="00AA4361" w:rsidP="00447AB1">
            <w:pPr>
              <w:rPr>
                <w:color w:val="000000"/>
                <w:sz w:val="20"/>
                <w:szCs w:val="20"/>
                <w:lang w:eastAsia="uk-UA"/>
              </w:rPr>
            </w:pPr>
          </w:p>
        </w:tc>
        <w:tc>
          <w:tcPr>
            <w:tcW w:w="1560" w:type="dxa"/>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c>
          <w:tcPr>
            <w:tcW w:w="1275" w:type="dxa"/>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c>
          <w:tcPr>
            <w:tcW w:w="1416" w:type="dxa"/>
            <w:gridSpan w:val="2"/>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c>
          <w:tcPr>
            <w:tcW w:w="992" w:type="dxa"/>
            <w:gridSpan w:val="2"/>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c>
          <w:tcPr>
            <w:tcW w:w="851" w:type="dxa"/>
            <w:gridSpan w:val="2"/>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r>
      <w:tr w:rsidR="00AA4361" w:rsidRPr="006F1C8F" w:rsidTr="00447AB1">
        <w:trPr>
          <w:gridAfter w:val="1"/>
          <w:wAfter w:w="285" w:type="dxa"/>
          <w:trHeight w:val="375"/>
        </w:trPr>
        <w:tc>
          <w:tcPr>
            <w:tcW w:w="9921" w:type="dxa"/>
            <w:gridSpan w:val="8"/>
            <w:tcBorders>
              <w:top w:val="nil"/>
              <w:left w:val="nil"/>
              <w:bottom w:val="nil"/>
              <w:right w:val="nil"/>
            </w:tcBorders>
            <w:shd w:val="clear" w:color="auto" w:fill="auto"/>
            <w:noWrap/>
            <w:vAlign w:val="bottom"/>
            <w:hideMark/>
          </w:tcPr>
          <w:p w:rsidR="00AA4361" w:rsidRPr="006F1C8F" w:rsidRDefault="00AA4361" w:rsidP="00447AB1">
            <w:pPr>
              <w:jc w:val="center"/>
              <w:rPr>
                <w:b/>
                <w:bCs/>
                <w:color w:val="000000"/>
                <w:lang w:eastAsia="uk-UA"/>
              </w:rPr>
            </w:pPr>
            <w:proofErr w:type="gramStart"/>
            <w:r>
              <w:rPr>
                <w:b/>
                <w:bCs/>
                <w:color w:val="000000"/>
                <w:lang w:eastAsia="uk-UA"/>
              </w:rPr>
              <w:t>СПЕЦ</w:t>
            </w:r>
            <w:proofErr w:type="gramEnd"/>
            <w:r>
              <w:rPr>
                <w:b/>
                <w:bCs/>
                <w:color w:val="000000"/>
                <w:lang w:eastAsia="uk-UA"/>
              </w:rPr>
              <w:t>ІАЛЬНИЙ ФОНД</w:t>
            </w:r>
          </w:p>
        </w:tc>
        <w:tc>
          <w:tcPr>
            <w:tcW w:w="851" w:type="dxa"/>
            <w:gridSpan w:val="2"/>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r>
      <w:tr w:rsidR="00AA4361" w:rsidRPr="006F1C8F" w:rsidTr="00447AB1">
        <w:trPr>
          <w:gridAfter w:val="1"/>
          <w:wAfter w:w="285" w:type="dxa"/>
          <w:trHeight w:val="375"/>
        </w:trPr>
        <w:tc>
          <w:tcPr>
            <w:tcW w:w="1276" w:type="dxa"/>
            <w:tcBorders>
              <w:top w:val="nil"/>
              <w:left w:val="nil"/>
              <w:bottom w:val="nil"/>
              <w:right w:val="nil"/>
            </w:tcBorders>
            <w:shd w:val="clear" w:color="auto" w:fill="auto"/>
            <w:noWrap/>
            <w:vAlign w:val="bottom"/>
            <w:hideMark/>
          </w:tcPr>
          <w:p w:rsidR="00AA4361" w:rsidRPr="006F1C8F" w:rsidRDefault="00AA4361" w:rsidP="00447AB1">
            <w:pPr>
              <w:jc w:val="center"/>
              <w:rPr>
                <w:color w:val="000000"/>
                <w:sz w:val="20"/>
                <w:szCs w:val="20"/>
                <w:lang w:eastAsia="uk-UA"/>
              </w:rPr>
            </w:pPr>
          </w:p>
        </w:tc>
        <w:tc>
          <w:tcPr>
            <w:tcW w:w="3402" w:type="dxa"/>
            <w:tcBorders>
              <w:top w:val="nil"/>
              <w:left w:val="nil"/>
              <w:bottom w:val="nil"/>
              <w:right w:val="nil"/>
            </w:tcBorders>
            <w:shd w:val="clear" w:color="auto" w:fill="auto"/>
            <w:vAlign w:val="bottom"/>
            <w:hideMark/>
          </w:tcPr>
          <w:p w:rsidR="00AA4361" w:rsidRPr="006F1C8F" w:rsidRDefault="00AA4361" w:rsidP="00447AB1">
            <w:pPr>
              <w:rPr>
                <w:color w:val="000000"/>
                <w:sz w:val="20"/>
                <w:szCs w:val="20"/>
                <w:lang w:eastAsia="uk-UA"/>
              </w:rPr>
            </w:pPr>
          </w:p>
        </w:tc>
        <w:tc>
          <w:tcPr>
            <w:tcW w:w="1560" w:type="dxa"/>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c>
          <w:tcPr>
            <w:tcW w:w="1275" w:type="dxa"/>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c>
          <w:tcPr>
            <w:tcW w:w="1416" w:type="dxa"/>
            <w:gridSpan w:val="2"/>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r>
              <w:rPr>
                <w:color w:val="000000"/>
                <w:sz w:val="20"/>
                <w:szCs w:val="20"/>
                <w:lang w:eastAsia="uk-UA"/>
              </w:rPr>
              <w:t xml:space="preserve">                  </w:t>
            </w:r>
          </w:p>
        </w:tc>
        <w:tc>
          <w:tcPr>
            <w:tcW w:w="992" w:type="dxa"/>
            <w:gridSpan w:val="2"/>
            <w:tcBorders>
              <w:top w:val="nil"/>
              <w:left w:val="nil"/>
              <w:bottom w:val="nil"/>
              <w:right w:val="nil"/>
            </w:tcBorders>
            <w:shd w:val="clear" w:color="auto" w:fill="auto"/>
            <w:noWrap/>
            <w:vAlign w:val="bottom"/>
            <w:hideMark/>
          </w:tcPr>
          <w:p w:rsidR="00AA4361" w:rsidRPr="00FC2ABE" w:rsidRDefault="00AA4361" w:rsidP="00447AB1">
            <w:pPr>
              <w:rPr>
                <w:color w:val="000000"/>
                <w:sz w:val="20"/>
                <w:szCs w:val="20"/>
                <w:lang w:eastAsia="uk-UA"/>
              </w:rPr>
            </w:pPr>
            <w:r w:rsidRPr="00FC2ABE">
              <w:rPr>
                <w:bCs/>
                <w:color w:val="000000"/>
                <w:sz w:val="20"/>
                <w:szCs w:val="20"/>
                <w:lang w:eastAsia="uk-UA"/>
              </w:rPr>
              <w:t xml:space="preserve">             тис</w:t>
            </w:r>
            <w:proofErr w:type="gramStart"/>
            <w:r w:rsidRPr="00FC2ABE">
              <w:rPr>
                <w:bCs/>
                <w:color w:val="000000"/>
                <w:sz w:val="20"/>
                <w:szCs w:val="20"/>
                <w:lang w:eastAsia="uk-UA"/>
              </w:rPr>
              <w:t>.</w:t>
            </w:r>
            <w:proofErr w:type="gramEnd"/>
            <w:r w:rsidRPr="00FC2ABE">
              <w:rPr>
                <w:bCs/>
                <w:color w:val="000000"/>
                <w:sz w:val="20"/>
                <w:szCs w:val="20"/>
                <w:lang w:eastAsia="uk-UA"/>
              </w:rPr>
              <w:t xml:space="preserve"> </w:t>
            </w:r>
            <w:proofErr w:type="spellStart"/>
            <w:proofErr w:type="gramStart"/>
            <w:r w:rsidRPr="00FC2ABE">
              <w:rPr>
                <w:bCs/>
                <w:color w:val="000000"/>
                <w:sz w:val="20"/>
                <w:szCs w:val="20"/>
                <w:lang w:eastAsia="uk-UA"/>
              </w:rPr>
              <w:t>г</w:t>
            </w:r>
            <w:proofErr w:type="gramEnd"/>
            <w:r w:rsidRPr="00FC2ABE">
              <w:rPr>
                <w:bCs/>
                <w:color w:val="000000"/>
                <w:sz w:val="20"/>
                <w:szCs w:val="20"/>
                <w:lang w:eastAsia="uk-UA"/>
              </w:rPr>
              <w:t>рн</w:t>
            </w:r>
            <w:proofErr w:type="spellEnd"/>
            <w:r w:rsidRPr="00FC2ABE">
              <w:rPr>
                <w:bCs/>
                <w:color w:val="000000"/>
                <w:sz w:val="20"/>
                <w:szCs w:val="20"/>
                <w:lang w:eastAsia="uk-UA"/>
              </w:rPr>
              <w:t>.</w:t>
            </w:r>
          </w:p>
        </w:tc>
        <w:tc>
          <w:tcPr>
            <w:tcW w:w="851" w:type="dxa"/>
            <w:gridSpan w:val="2"/>
            <w:tcBorders>
              <w:top w:val="nil"/>
              <w:left w:val="nil"/>
              <w:bottom w:val="nil"/>
              <w:right w:val="nil"/>
            </w:tcBorders>
            <w:shd w:val="clear" w:color="auto" w:fill="auto"/>
            <w:noWrap/>
            <w:vAlign w:val="bottom"/>
            <w:hideMark/>
          </w:tcPr>
          <w:p w:rsidR="00AA4361" w:rsidRPr="006F1C8F" w:rsidRDefault="00AA4361" w:rsidP="00447AB1">
            <w:pPr>
              <w:rPr>
                <w:color w:val="000000"/>
                <w:sz w:val="20"/>
                <w:szCs w:val="20"/>
                <w:lang w:eastAsia="uk-UA"/>
              </w:rPr>
            </w:pPr>
          </w:p>
        </w:tc>
      </w:tr>
      <w:tr w:rsidR="00AA4361" w:rsidRPr="006F1C8F" w:rsidTr="00447AB1">
        <w:trPr>
          <w:trHeight w:val="75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A4361" w:rsidRPr="007B3603" w:rsidRDefault="00AA4361" w:rsidP="00447AB1">
            <w:pPr>
              <w:jc w:val="center"/>
              <w:rPr>
                <w:b/>
                <w:bCs/>
                <w:color w:val="000000"/>
                <w:lang w:eastAsia="uk-UA"/>
              </w:rPr>
            </w:pPr>
            <w:r w:rsidRPr="007B3603">
              <w:rPr>
                <w:b/>
                <w:bCs/>
                <w:color w:val="000000"/>
                <w:lang w:eastAsia="uk-UA"/>
              </w:rPr>
              <w:t>ККД</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AA4361" w:rsidRPr="007B3603" w:rsidRDefault="00AA4361" w:rsidP="00447AB1">
            <w:pPr>
              <w:jc w:val="center"/>
              <w:rPr>
                <w:b/>
                <w:bCs/>
                <w:color w:val="000000"/>
                <w:lang w:eastAsia="uk-UA"/>
              </w:rPr>
            </w:pPr>
            <w:r w:rsidRPr="007B3603">
              <w:rPr>
                <w:b/>
                <w:bCs/>
                <w:color w:val="000000"/>
                <w:lang w:eastAsia="uk-UA"/>
              </w:rPr>
              <w:t>Доходи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A4361" w:rsidRPr="00FC2ABE" w:rsidRDefault="00AA4361" w:rsidP="00447AB1">
            <w:pPr>
              <w:rPr>
                <w:b/>
                <w:bCs/>
                <w:color w:val="000000"/>
                <w:lang w:eastAsia="uk-UA"/>
              </w:rPr>
            </w:pPr>
            <w:r>
              <w:rPr>
                <w:b/>
                <w:bCs/>
                <w:color w:val="000000"/>
                <w:lang w:eastAsia="uk-UA"/>
              </w:rPr>
              <w:t xml:space="preserve">Уточнений план на </w:t>
            </w:r>
            <w:proofErr w:type="spellStart"/>
            <w:proofErr w:type="gramStart"/>
            <w:r>
              <w:rPr>
                <w:b/>
                <w:bCs/>
                <w:color w:val="000000"/>
                <w:lang w:eastAsia="uk-UA"/>
              </w:rPr>
              <w:t>р</w:t>
            </w:r>
            <w:proofErr w:type="gramEnd"/>
            <w:r>
              <w:rPr>
                <w:b/>
                <w:bCs/>
                <w:color w:val="000000"/>
                <w:lang w:eastAsia="uk-UA"/>
              </w:rPr>
              <w:t>ік</w:t>
            </w:r>
            <w:proofErr w:type="spellEnd"/>
          </w:p>
        </w:tc>
        <w:tc>
          <w:tcPr>
            <w:tcW w:w="1558" w:type="dxa"/>
            <w:gridSpan w:val="2"/>
            <w:tcBorders>
              <w:top w:val="single" w:sz="4" w:space="0" w:color="auto"/>
              <w:left w:val="nil"/>
              <w:bottom w:val="single" w:sz="4" w:space="0" w:color="auto"/>
              <w:right w:val="single" w:sz="4" w:space="0" w:color="auto"/>
            </w:tcBorders>
            <w:shd w:val="clear" w:color="auto" w:fill="auto"/>
            <w:vAlign w:val="center"/>
            <w:hideMark/>
          </w:tcPr>
          <w:p w:rsidR="00AA4361" w:rsidRPr="00FC2ABE" w:rsidRDefault="00AA4361" w:rsidP="00447AB1">
            <w:pPr>
              <w:jc w:val="center"/>
              <w:rPr>
                <w:b/>
                <w:bCs/>
                <w:color w:val="000000"/>
                <w:lang w:eastAsia="uk-UA"/>
              </w:rPr>
            </w:pPr>
            <w:r w:rsidRPr="00FC2ABE">
              <w:rPr>
                <w:b/>
                <w:bCs/>
                <w:color w:val="000000"/>
                <w:lang w:eastAsia="uk-UA"/>
              </w:rPr>
              <w:t xml:space="preserve"> Уточ</w:t>
            </w:r>
            <w:r>
              <w:rPr>
                <w:b/>
                <w:bCs/>
                <w:color w:val="000000"/>
                <w:lang w:eastAsia="uk-UA"/>
              </w:rPr>
              <w:t xml:space="preserve">нений план на </w:t>
            </w:r>
            <w:proofErr w:type="spellStart"/>
            <w:r>
              <w:rPr>
                <w:b/>
                <w:bCs/>
                <w:color w:val="000000"/>
                <w:lang w:eastAsia="uk-UA"/>
              </w:rPr>
              <w:t>звітний</w:t>
            </w:r>
            <w:proofErr w:type="spellEnd"/>
            <w:r>
              <w:rPr>
                <w:b/>
                <w:bCs/>
                <w:color w:val="000000"/>
                <w:lang w:eastAsia="uk-UA"/>
              </w:rPr>
              <w:t xml:space="preserve"> </w:t>
            </w:r>
            <w:proofErr w:type="spellStart"/>
            <w:r>
              <w:rPr>
                <w:b/>
                <w:bCs/>
                <w:color w:val="000000"/>
                <w:lang w:eastAsia="uk-UA"/>
              </w:rPr>
              <w:t>період</w:t>
            </w:r>
            <w:proofErr w:type="spellEnd"/>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b/>
                <w:bCs/>
                <w:color w:val="000000"/>
                <w:lang w:eastAsia="uk-UA"/>
              </w:rPr>
            </w:pPr>
            <w:r w:rsidRPr="007B3603">
              <w:rPr>
                <w:b/>
                <w:bCs/>
                <w:color w:val="000000"/>
                <w:lang w:eastAsia="uk-UA"/>
              </w:rPr>
              <w:t>Факт</w:t>
            </w:r>
          </w:p>
        </w:tc>
        <w:tc>
          <w:tcPr>
            <w:tcW w:w="1135" w:type="dxa"/>
            <w:gridSpan w:val="2"/>
            <w:tcBorders>
              <w:top w:val="single" w:sz="4" w:space="0" w:color="auto"/>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b/>
                <w:bCs/>
                <w:color w:val="000000"/>
                <w:lang w:eastAsia="uk-UA"/>
              </w:rPr>
            </w:pPr>
            <w:r w:rsidRPr="007B3603">
              <w:rPr>
                <w:b/>
                <w:bCs/>
                <w:color w:val="000000"/>
                <w:lang w:eastAsia="uk-UA"/>
              </w:rPr>
              <w:t>+/-</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b/>
                <w:bCs/>
                <w:color w:val="000000"/>
                <w:lang w:eastAsia="uk-UA"/>
              </w:rPr>
            </w:pPr>
            <w:r w:rsidRPr="007B3603">
              <w:rPr>
                <w:b/>
                <w:bCs/>
                <w:color w:val="000000"/>
                <w:lang w:eastAsia="uk-UA"/>
              </w:rPr>
              <w:t xml:space="preserve">% </w:t>
            </w:r>
            <w:proofErr w:type="spellStart"/>
            <w:r w:rsidRPr="007B3603">
              <w:rPr>
                <w:b/>
                <w:bCs/>
                <w:color w:val="000000"/>
                <w:lang w:eastAsia="uk-UA"/>
              </w:rPr>
              <w:t>викон</w:t>
            </w:r>
            <w:proofErr w:type="spellEnd"/>
            <w:r w:rsidRPr="007B3603">
              <w:rPr>
                <w:b/>
                <w:bCs/>
                <w:color w:val="000000"/>
                <w:lang w:eastAsia="uk-UA"/>
              </w:rPr>
              <w:t>.</w:t>
            </w:r>
          </w:p>
        </w:tc>
      </w:tr>
      <w:tr w:rsidR="00AA4361" w:rsidRPr="006F1C8F" w:rsidTr="00447AB1">
        <w:trPr>
          <w:trHeight w:val="37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AA4361" w:rsidRPr="007B3603" w:rsidRDefault="00AA4361" w:rsidP="00447AB1">
            <w:pPr>
              <w:jc w:val="center"/>
              <w:rPr>
                <w:color w:val="000000"/>
                <w:lang w:eastAsia="uk-UA"/>
              </w:rPr>
            </w:pPr>
            <w:r w:rsidRPr="007B3603">
              <w:rPr>
                <w:color w:val="000000"/>
                <w:lang w:eastAsia="uk-UA"/>
              </w:rPr>
              <w:t>1</w:t>
            </w:r>
          </w:p>
        </w:tc>
        <w:tc>
          <w:tcPr>
            <w:tcW w:w="3402" w:type="dxa"/>
            <w:tcBorders>
              <w:top w:val="nil"/>
              <w:left w:val="nil"/>
              <w:bottom w:val="single" w:sz="4" w:space="0" w:color="auto"/>
              <w:right w:val="single" w:sz="4" w:space="0" w:color="auto"/>
            </w:tcBorders>
            <w:shd w:val="clear" w:color="auto" w:fill="auto"/>
            <w:vAlign w:val="bottom"/>
            <w:hideMark/>
          </w:tcPr>
          <w:p w:rsidR="00AA4361" w:rsidRPr="007B3603" w:rsidRDefault="00AA4361" w:rsidP="00447AB1">
            <w:pPr>
              <w:jc w:val="center"/>
              <w:rPr>
                <w:color w:val="000000"/>
                <w:lang w:eastAsia="uk-UA"/>
              </w:rPr>
            </w:pPr>
            <w:r w:rsidRPr="007B3603">
              <w:rPr>
                <w:color w:val="000000"/>
                <w:lang w:eastAsia="uk-UA"/>
              </w:rPr>
              <w:t>2</w:t>
            </w:r>
          </w:p>
        </w:tc>
        <w:tc>
          <w:tcPr>
            <w:tcW w:w="1560" w:type="dxa"/>
            <w:tcBorders>
              <w:top w:val="nil"/>
              <w:left w:val="nil"/>
              <w:bottom w:val="single" w:sz="4" w:space="0" w:color="auto"/>
              <w:right w:val="single" w:sz="4" w:space="0" w:color="auto"/>
            </w:tcBorders>
            <w:shd w:val="clear" w:color="auto" w:fill="auto"/>
            <w:noWrap/>
            <w:vAlign w:val="bottom"/>
            <w:hideMark/>
          </w:tcPr>
          <w:p w:rsidR="00AA4361" w:rsidRPr="007B3603" w:rsidRDefault="00AA4361" w:rsidP="00447AB1">
            <w:pPr>
              <w:jc w:val="center"/>
              <w:rPr>
                <w:color w:val="000000"/>
                <w:lang w:eastAsia="uk-UA"/>
              </w:rPr>
            </w:pPr>
            <w:r w:rsidRPr="007B3603">
              <w:rPr>
                <w:color w:val="000000"/>
                <w:lang w:eastAsia="uk-UA"/>
              </w:rPr>
              <w:t>3</w:t>
            </w:r>
          </w:p>
        </w:tc>
        <w:tc>
          <w:tcPr>
            <w:tcW w:w="1558" w:type="dxa"/>
            <w:gridSpan w:val="2"/>
            <w:tcBorders>
              <w:top w:val="nil"/>
              <w:left w:val="nil"/>
              <w:bottom w:val="single" w:sz="4" w:space="0" w:color="auto"/>
              <w:right w:val="single" w:sz="4" w:space="0" w:color="auto"/>
            </w:tcBorders>
            <w:shd w:val="clear" w:color="auto" w:fill="auto"/>
            <w:noWrap/>
            <w:vAlign w:val="bottom"/>
            <w:hideMark/>
          </w:tcPr>
          <w:p w:rsidR="00AA4361" w:rsidRPr="007B3603" w:rsidRDefault="00AA4361" w:rsidP="00447AB1">
            <w:pPr>
              <w:jc w:val="center"/>
              <w:rPr>
                <w:color w:val="000000"/>
                <w:lang w:eastAsia="uk-UA"/>
              </w:rPr>
            </w:pPr>
            <w:r w:rsidRPr="007B3603">
              <w:rPr>
                <w:color w:val="000000"/>
                <w:lang w:eastAsia="uk-UA"/>
              </w:rPr>
              <w:t>4</w:t>
            </w:r>
          </w:p>
        </w:tc>
        <w:tc>
          <w:tcPr>
            <w:tcW w:w="1275" w:type="dxa"/>
            <w:gridSpan w:val="2"/>
            <w:tcBorders>
              <w:top w:val="nil"/>
              <w:left w:val="nil"/>
              <w:bottom w:val="single" w:sz="4" w:space="0" w:color="auto"/>
              <w:right w:val="single" w:sz="4" w:space="0" w:color="auto"/>
            </w:tcBorders>
            <w:shd w:val="clear" w:color="auto" w:fill="auto"/>
            <w:noWrap/>
            <w:vAlign w:val="bottom"/>
            <w:hideMark/>
          </w:tcPr>
          <w:p w:rsidR="00AA4361" w:rsidRPr="007B3603" w:rsidRDefault="00AA4361" w:rsidP="00447AB1">
            <w:pPr>
              <w:jc w:val="center"/>
              <w:rPr>
                <w:color w:val="000000"/>
                <w:lang w:eastAsia="uk-UA"/>
              </w:rPr>
            </w:pPr>
            <w:r w:rsidRPr="007B3603">
              <w:rPr>
                <w:color w:val="000000"/>
                <w:lang w:eastAsia="uk-UA"/>
              </w:rPr>
              <w:t>5</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AA4361" w:rsidRPr="007B3603" w:rsidRDefault="00AA4361" w:rsidP="00447AB1">
            <w:pPr>
              <w:jc w:val="center"/>
              <w:rPr>
                <w:color w:val="000000"/>
                <w:lang w:eastAsia="uk-UA"/>
              </w:rPr>
            </w:pPr>
            <w:r w:rsidRPr="007B3603">
              <w:rPr>
                <w:color w:val="000000"/>
                <w:lang w:eastAsia="uk-UA"/>
              </w:rPr>
              <w:t>6</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AA4361" w:rsidRPr="007B3603" w:rsidRDefault="00AA4361" w:rsidP="00447AB1">
            <w:pPr>
              <w:jc w:val="center"/>
              <w:rPr>
                <w:color w:val="000000"/>
                <w:lang w:eastAsia="uk-UA"/>
              </w:rPr>
            </w:pPr>
            <w:r w:rsidRPr="007B3603">
              <w:rPr>
                <w:color w:val="000000"/>
                <w:lang w:eastAsia="uk-UA"/>
              </w:rPr>
              <w:t>7</w:t>
            </w:r>
          </w:p>
        </w:tc>
      </w:tr>
      <w:tr w:rsidR="00AA4361" w:rsidRPr="006F1C8F" w:rsidTr="00447AB1">
        <w:trPr>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sidRPr="007B3603">
              <w:rPr>
                <w:color w:val="000000"/>
                <w:lang w:eastAsia="uk-UA"/>
              </w:rPr>
              <w:t>19010000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7B3603" w:rsidRDefault="00AA4361" w:rsidP="00447AB1">
            <w:pPr>
              <w:rPr>
                <w:color w:val="000000"/>
                <w:lang w:eastAsia="uk-UA"/>
              </w:rPr>
            </w:pPr>
            <w:proofErr w:type="spellStart"/>
            <w:r w:rsidRPr="007B3603">
              <w:rPr>
                <w:color w:val="000000"/>
                <w:lang w:eastAsia="uk-UA"/>
              </w:rPr>
              <w:t>Екологічний</w:t>
            </w:r>
            <w:proofErr w:type="spellEnd"/>
            <w:r w:rsidRPr="007B3603">
              <w:rPr>
                <w:color w:val="000000"/>
                <w:lang w:eastAsia="uk-UA"/>
              </w:rPr>
              <w:t xml:space="preserve"> </w:t>
            </w:r>
            <w:proofErr w:type="spellStart"/>
            <w:r w:rsidRPr="007B3603">
              <w:rPr>
                <w:color w:val="000000"/>
                <w:lang w:eastAsia="uk-UA"/>
              </w:rPr>
              <w:t>податок</w:t>
            </w:r>
            <w:proofErr w:type="spellEnd"/>
            <w:r w:rsidRPr="007B3603">
              <w:rPr>
                <w:color w:val="000000"/>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13,3</w:t>
            </w:r>
          </w:p>
        </w:tc>
        <w:tc>
          <w:tcPr>
            <w:tcW w:w="1558"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4,8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4,3</w:t>
            </w:r>
          </w:p>
        </w:tc>
        <w:tc>
          <w:tcPr>
            <w:tcW w:w="1135"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sidRPr="007B3603">
              <w:rPr>
                <w:b/>
                <w:bCs/>
                <w:color w:val="000000"/>
                <w:lang w:eastAsia="uk-UA"/>
              </w:rPr>
              <w:t>-</w:t>
            </w:r>
            <w:r>
              <w:rPr>
                <w:b/>
                <w:bCs/>
                <w:color w:val="000000"/>
                <w:lang w:eastAsia="uk-UA"/>
              </w:rPr>
              <w:t>0,5</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89,6</w:t>
            </w:r>
          </w:p>
        </w:tc>
      </w:tr>
      <w:tr w:rsidR="00AA4361" w:rsidRPr="006F1C8F" w:rsidTr="00447AB1">
        <w:trPr>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sidRPr="007B3603">
              <w:rPr>
                <w:color w:val="000000"/>
                <w:lang w:eastAsia="uk-UA"/>
              </w:rPr>
              <w:lastRenderedPageBreak/>
              <w:t>24060000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7B3603" w:rsidRDefault="00AA4361" w:rsidP="00447AB1">
            <w:pPr>
              <w:rPr>
                <w:color w:val="000000"/>
                <w:lang w:eastAsia="uk-UA"/>
              </w:rPr>
            </w:pPr>
            <w:proofErr w:type="spellStart"/>
            <w:r w:rsidRPr="007B3603">
              <w:rPr>
                <w:color w:val="000000"/>
                <w:lang w:eastAsia="uk-UA"/>
              </w:rPr>
              <w:t>Інші</w:t>
            </w:r>
            <w:proofErr w:type="spellEnd"/>
            <w:r w:rsidRPr="007B3603">
              <w:rPr>
                <w:color w:val="000000"/>
                <w:lang w:eastAsia="uk-UA"/>
              </w:rPr>
              <w:t xml:space="preserve"> </w:t>
            </w:r>
            <w:proofErr w:type="spellStart"/>
            <w:r w:rsidRPr="007B3603">
              <w:rPr>
                <w:color w:val="000000"/>
                <w:lang w:eastAsia="uk-UA"/>
              </w:rPr>
              <w:t>надходження</w:t>
            </w:r>
            <w:proofErr w:type="spellEnd"/>
            <w:r w:rsidRPr="007B3603">
              <w:rPr>
                <w:color w:val="000000"/>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3,7</w:t>
            </w:r>
          </w:p>
        </w:tc>
        <w:tc>
          <w:tcPr>
            <w:tcW w:w="1558"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3,7</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10,3</w:t>
            </w:r>
          </w:p>
        </w:tc>
        <w:tc>
          <w:tcPr>
            <w:tcW w:w="1135"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6,6</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277,7</w:t>
            </w:r>
          </w:p>
        </w:tc>
      </w:tr>
      <w:tr w:rsidR="00AA4361" w:rsidRPr="006F1C8F" w:rsidTr="00447AB1">
        <w:trPr>
          <w:trHeight w:val="82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sidRPr="007B3603">
              <w:rPr>
                <w:color w:val="000000"/>
                <w:lang w:eastAsia="uk-UA"/>
              </w:rPr>
              <w:t>25010000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7B3603" w:rsidRDefault="00AA4361" w:rsidP="00447AB1">
            <w:pPr>
              <w:rPr>
                <w:color w:val="000000"/>
                <w:lang w:eastAsia="uk-UA"/>
              </w:rPr>
            </w:pPr>
            <w:proofErr w:type="spellStart"/>
            <w:r w:rsidRPr="007B3603">
              <w:rPr>
                <w:color w:val="000000"/>
                <w:lang w:eastAsia="uk-UA"/>
              </w:rPr>
              <w:t>Надходження</w:t>
            </w:r>
            <w:proofErr w:type="spellEnd"/>
            <w:r w:rsidRPr="007B3603">
              <w:rPr>
                <w:color w:val="000000"/>
                <w:lang w:eastAsia="uk-UA"/>
              </w:rPr>
              <w:t xml:space="preserve"> </w:t>
            </w:r>
            <w:proofErr w:type="spellStart"/>
            <w:r w:rsidRPr="007B3603">
              <w:rPr>
                <w:color w:val="000000"/>
                <w:lang w:eastAsia="uk-UA"/>
              </w:rPr>
              <w:t>від</w:t>
            </w:r>
            <w:proofErr w:type="spellEnd"/>
            <w:r w:rsidRPr="007B3603">
              <w:rPr>
                <w:color w:val="000000"/>
                <w:lang w:eastAsia="uk-UA"/>
              </w:rPr>
              <w:t xml:space="preserve"> плати за </w:t>
            </w:r>
            <w:proofErr w:type="spellStart"/>
            <w:r w:rsidRPr="007B3603">
              <w:rPr>
                <w:color w:val="000000"/>
                <w:lang w:eastAsia="uk-UA"/>
              </w:rPr>
              <w:t>послуги</w:t>
            </w:r>
            <w:proofErr w:type="spellEnd"/>
            <w:r w:rsidRPr="007B3603">
              <w:rPr>
                <w:color w:val="000000"/>
                <w:lang w:eastAsia="uk-UA"/>
              </w:rPr>
              <w:t xml:space="preserve">, </w:t>
            </w:r>
            <w:proofErr w:type="spellStart"/>
            <w:r w:rsidRPr="007B3603">
              <w:rPr>
                <w:color w:val="000000"/>
                <w:lang w:eastAsia="uk-UA"/>
              </w:rPr>
              <w:t>що</w:t>
            </w:r>
            <w:proofErr w:type="spellEnd"/>
            <w:r w:rsidRPr="007B3603">
              <w:rPr>
                <w:color w:val="000000"/>
                <w:lang w:eastAsia="uk-UA"/>
              </w:rPr>
              <w:t xml:space="preserve"> </w:t>
            </w:r>
            <w:proofErr w:type="spellStart"/>
            <w:r w:rsidRPr="007B3603">
              <w:rPr>
                <w:color w:val="000000"/>
                <w:lang w:eastAsia="uk-UA"/>
              </w:rPr>
              <w:t>надаються</w:t>
            </w:r>
            <w:proofErr w:type="spellEnd"/>
            <w:r w:rsidRPr="007B3603">
              <w:rPr>
                <w:color w:val="000000"/>
                <w:lang w:eastAsia="uk-UA"/>
              </w:rPr>
              <w:t xml:space="preserve"> </w:t>
            </w:r>
            <w:proofErr w:type="spellStart"/>
            <w:r w:rsidRPr="007B3603">
              <w:rPr>
                <w:color w:val="000000"/>
                <w:lang w:eastAsia="uk-UA"/>
              </w:rPr>
              <w:t>бюджетними</w:t>
            </w:r>
            <w:proofErr w:type="spellEnd"/>
            <w:r w:rsidRPr="007B3603">
              <w:rPr>
                <w:color w:val="000000"/>
                <w:lang w:eastAsia="uk-UA"/>
              </w:rPr>
              <w:t xml:space="preserve"> </w:t>
            </w:r>
            <w:proofErr w:type="spellStart"/>
            <w:r w:rsidRPr="007B3603">
              <w:rPr>
                <w:color w:val="000000"/>
                <w:lang w:eastAsia="uk-UA"/>
              </w:rPr>
              <w:t>установами</w:t>
            </w:r>
            <w:proofErr w:type="spellEnd"/>
            <w:r w:rsidRPr="007B3603">
              <w:rPr>
                <w:color w:val="000000"/>
                <w:lang w:eastAsia="uk-UA"/>
              </w:rPr>
              <w:t xml:space="preserve"> </w:t>
            </w:r>
            <w:proofErr w:type="spellStart"/>
            <w:r w:rsidRPr="007B3603">
              <w:rPr>
                <w:color w:val="000000"/>
                <w:lang w:eastAsia="uk-UA"/>
              </w:rPr>
              <w:t>згідно</w:t>
            </w:r>
            <w:proofErr w:type="spellEnd"/>
            <w:r w:rsidRPr="007B3603">
              <w:rPr>
                <w:color w:val="000000"/>
                <w:lang w:eastAsia="uk-UA"/>
              </w:rPr>
              <w:t xml:space="preserve"> </w:t>
            </w:r>
            <w:proofErr w:type="spellStart"/>
            <w:r w:rsidRPr="007B3603">
              <w:rPr>
                <w:color w:val="000000"/>
                <w:lang w:eastAsia="uk-UA"/>
              </w:rPr>
              <w:t>із</w:t>
            </w:r>
            <w:proofErr w:type="spellEnd"/>
            <w:r w:rsidRPr="007B3603">
              <w:rPr>
                <w:color w:val="000000"/>
                <w:lang w:eastAsia="uk-UA"/>
              </w:rPr>
              <w:t xml:space="preserve"> </w:t>
            </w:r>
            <w:proofErr w:type="spellStart"/>
            <w:r w:rsidRPr="007B3603">
              <w:rPr>
                <w:color w:val="000000"/>
                <w:lang w:eastAsia="uk-UA"/>
              </w:rPr>
              <w:t>законодавством</w:t>
            </w:r>
            <w:proofErr w:type="spellEnd"/>
            <w:r w:rsidRPr="007B3603">
              <w:rPr>
                <w:color w:val="000000"/>
                <w:lang w:eastAsia="uk-UA"/>
              </w:rPr>
              <w:t>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3005,5</w:t>
            </w:r>
          </w:p>
        </w:tc>
        <w:tc>
          <w:tcPr>
            <w:tcW w:w="1558"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751,4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816,5</w:t>
            </w:r>
          </w:p>
        </w:tc>
        <w:tc>
          <w:tcPr>
            <w:tcW w:w="1135"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65,1</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108,7</w:t>
            </w:r>
          </w:p>
        </w:tc>
      </w:tr>
      <w:tr w:rsidR="00AA4361" w:rsidRPr="006F1C8F" w:rsidTr="00447AB1">
        <w:trPr>
          <w:trHeight w:val="5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sidRPr="007B3603">
              <w:rPr>
                <w:color w:val="000000"/>
                <w:lang w:eastAsia="uk-UA"/>
              </w:rPr>
              <w:t>25020000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7B3603" w:rsidRDefault="00AA4361" w:rsidP="00447AB1">
            <w:pPr>
              <w:rPr>
                <w:color w:val="000000"/>
                <w:lang w:eastAsia="uk-UA"/>
              </w:rPr>
            </w:pPr>
            <w:proofErr w:type="spellStart"/>
            <w:r w:rsidRPr="007B3603">
              <w:rPr>
                <w:color w:val="000000"/>
                <w:lang w:eastAsia="uk-UA"/>
              </w:rPr>
              <w:t>Інші</w:t>
            </w:r>
            <w:proofErr w:type="spellEnd"/>
            <w:r w:rsidRPr="007B3603">
              <w:rPr>
                <w:color w:val="000000"/>
                <w:lang w:eastAsia="uk-UA"/>
              </w:rPr>
              <w:t xml:space="preserve"> </w:t>
            </w:r>
            <w:proofErr w:type="spellStart"/>
            <w:r w:rsidRPr="007B3603">
              <w:rPr>
                <w:color w:val="000000"/>
                <w:lang w:eastAsia="uk-UA"/>
              </w:rPr>
              <w:t>джерела</w:t>
            </w:r>
            <w:proofErr w:type="spellEnd"/>
            <w:r w:rsidRPr="007B3603">
              <w:rPr>
                <w:color w:val="000000"/>
                <w:lang w:eastAsia="uk-UA"/>
              </w:rPr>
              <w:t xml:space="preserve"> </w:t>
            </w:r>
            <w:proofErr w:type="spellStart"/>
            <w:r w:rsidRPr="007B3603">
              <w:rPr>
                <w:color w:val="000000"/>
                <w:lang w:eastAsia="uk-UA"/>
              </w:rPr>
              <w:t>власних</w:t>
            </w:r>
            <w:proofErr w:type="spellEnd"/>
            <w:r w:rsidRPr="007B3603">
              <w:rPr>
                <w:color w:val="000000"/>
                <w:lang w:eastAsia="uk-UA"/>
              </w:rPr>
              <w:t xml:space="preserve"> </w:t>
            </w:r>
            <w:proofErr w:type="spellStart"/>
            <w:r w:rsidRPr="007B3603">
              <w:rPr>
                <w:color w:val="000000"/>
                <w:lang w:eastAsia="uk-UA"/>
              </w:rPr>
              <w:t>надходжень</w:t>
            </w:r>
            <w:proofErr w:type="spellEnd"/>
            <w:r w:rsidRPr="007B3603">
              <w:rPr>
                <w:color w:val="000000"/>
                <w:lang w:eastAsia="uk-UA"/>
              </w:rPr>
              <w:t xml:space="preserve"> </w:t>
            </w:r>
            <w:proofErr w:type="spellStart"/>
            <w:r w:rsidRPr="007B3603">
              <w:rPr>
                <w:color w:val="000000"/>
                <w:lang w:eastAsia="uk-UA"/>
              </w:rPr>
              <w:t>бюджетних</w:t>
            </w:r>
            <w:proofErr w:type="spellEnd"/>
            <w:r w:rsidRPr="007B3603">
              <w:rPr>
                <w:color w:val="000000"/>
                <w:lang w:eastAsia="uk-UA"/>
              </w:rPr>
              <w:t xml:space="preserve"> </w:t>
            </w:r>
            <w:proofErr w:type="spellStart"/>
            <w:r w:rsidRPr="007B3603">
              <w:rPr>
                <w:color w:val="000000"/>
                <w:lang w:eastAsia="uk-UA"/>
              </w:rPr>
              <w:t>установ</w:t>
            </w:r>
            <w:proofErr w:type="spellEnd"/>
            <w:r w:rsidRPr="007B3603">
              <w:rPr>
                <w:color w:val="000000"/>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sidRPr="007B3603">
              <w:rPr>
                <w:color w:val="000000"/>
                <w:lang w:eastAsia="uk-UA"/>
              </w:rPr>
              <w:t>0,0</w:t>
            </w:r>
          </w:p>
        </w:tc>
        <w:tc>
          <w:tcPr>
            <w:tcW w:w="1558"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sidRPr="007B3603">
              <w:rPr>
                <w:color w:val="000000"/>
                <w:lang w:eastAsia="uk-UA"/>
              </w:rPr>
              <w:t>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391,8</w:t>
            </w:r>
          </w:p>
        </w:tc>
        <w:tc>
          <w:tcPr>
            <w:tcW w:w="1135"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391,8</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sidRPr="007B3603">
              <w:rPr>
                <w:b/>
                <w:bCs/>
                <w:color w:val="000000"/>
                <w:lang w:eastAsia="uk-UA"/>
              </w:rPr>
              <w:t>0,0</w:t>
            </w:r>
          </w:p>
        </w:tc>
      </w:tr>
      <w:tr w:rsidR="00AA4361" w:rsidRPr="006F1C8F" w:rsidTr="00447AB1">
        <w:trPr>
          <w:trHeight w:val="37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sidRPr="007B3603">
              <w:rPr>
                <w:color w:val="000000"/>
                <w:lang w:eastAsia="uk-UA"/>
              </w:rPr>
              <w:t>33010000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7B3603" w:rsidRDefault="00AA4361" w:rsidP="00447AB1">
            <w:pPr>
              <w:rPr>
                <w:color w:val="000000"/>
                <w:lang w:eastAsia="uk-UA"/>
              </w:rPr>
            </w:pPr>
            <w:proofErr w:type="spellStart"/>
            <w:r w:rsidRPr="007B3603">
              <w:rPr>
                <w:color w:val="000000"/>
                <w:lang w:eastAsia="uk-UA"/>
              </w:rPr>
              <w:t>Кошти</w:t>
            </w:r>
            <w:proofErr w:type="spellEnd"/>
            <w:r w:rsidRPr="007B3603">
              <w:rPr>
                <w:color w:val="000000"/>
                <w:lang w:eastAsia="uk-UA"/>
              </w:rPr>
              <w:t xml:space="preserve"> </w:t>
            </w:r>
            <w:proofErr w:type="spellStart"/>
            <w:r w:rsidRPr="007B3603">
              <w:rPr>
                <w:color w:val="000000"/>
                <w:lang w:eastAsia="uk-UA"/>
              </w:rPr>
              <w:t>від</w:t>
            </w:r>
            <w:proofErr w:type="spellEnd"/>
            <w:r w:rsidRPr="007B3603">
              <w:rPr>
                <w:color w:val="000000"/>
                <w:lang w:eastAsia="uk-UA"/>
              </w:rPr>
              <w:t xml:space="preserve"> продажу </w:t>
            </w:r>
            <w:proofErr w:type="spellStart"/>
            <w:r w:rsidRPr="007B3603">
              <w:rPr>
                <w:color w:val="000000"/>
                <w:lang w:eastAsia="uk-UA"/>
              </w:rPr>
              <w:t>землі</w:t>
            </w:r>
            <w:proofErr w:type="spellEnd"/>
            <w:r w:rsidRPr="007B3603">
              <w:rPr>
                <w:color w:val="000000"/>
                <w:lang w:eastAsia="uk-UA"/>
              </w:rPr>
              <w:t xml:space="preserve">  </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742,8</w:t>
            </w:r>
          </w:p>
        </w:tc>
        <w:tc>
          <w:tcPr>
            <w:tcW w:w="1558"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454,2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0,0</w:t>
            </w:r>
          </w:p>
        </w:tc>
        <w:tc>
          <w:tcPr>
            <w:tcW w:w="1135"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-452,2</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0,0</w:t>
            </w:r>
          </w:p>
        </w:tc>
      </w:tr>
      <w:tr w:rsidR="00AA4361" w:rsidRPr="006F1C8F" w:rsidTr="00447AB1">
        <w:trPr>
          <w:trHeight w:val="51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sidRPr="007B3603">
              <w:rPr>
                <w:color w:val="000000"/>
                <w:lang w:eastAsia="uk-UA"/>
              </w:rPr>
              <w:t>41050000</w:t>
            </w:r>
          </w:p>
        </w:tc>
        <w:tc>
          <w:tcPr>
            <w:tcW w:w="3402" w:type="dxa"/>
            <w:tcBorders>
              <w:top w:val="nil"/>
              <w:left w:val="nil"/>
              <w:bottom w:val="single" w:sz="4" w:space="0" w:color="auto"/>
              <w:right w:val="single" w:sz="4" w:space="0" w:color="auto"/>
            </w:tcBorders>
            <w:shd w:val="clear" w:color="auto" w:fill="auto"/>
            <w:vAlign w:val="center"/>
            <w:hideMark/>
          </w:tcPr>
          <w:p w:rsidR="00AA4361" w:rsidRPr="007B3603" w:rsidRDefault="00AA4361" w:rsidP="00447AB1">
            <w:pPr>
              <w:rPr>
                <w:color w:val="000000"/>
                <w:lang w:eastAsia="uk-UA"/>
              </w:rPr>
            </w:pPr>
            <w:proofErr w:type="spellStart"/>
            <w:r w:rsidRPr="007B3603">
              <w:rPr>
                <w:color w:val="000000"/>
                <w:lang w:eastAsia="uk-UA"/>
              </w:rPr>
              <w:t>Субвенції</w:t>
            </w:r>
            <w:proofErr w:type="spellEnd"/>
            <w:r w:rsidRPr="007B3603">
              <w:rPr>
                <w:color w:val="000000"/>
                <w:lang w:eastAsia="uk-UA"/>
              </w:rPr>
              <w:t xml:space="preserve"> </w:t>
            </w:r>
            <w:proofErr w:type="spellStart"/>
            <w:r w:rsidRPr="007B3603">
              <w:rPr>
                <w:color w:val="000000"/>
                <w:lang w:eastAsia="uk-UA"/>
              </w:rPr>
              <w:t>з</w:t>
            </w:r>
            <w:proofErr w:type="spellEnd"/>
            <w:r w:rsidRPr="007B3603">
              <w:rPr>
                <w:color w:val="000000"/>
                <w:lang w:eastAsia="uk-UA"/>
              </w:rPr>
              <w:t xml:space="preserve"> </w:t>
            </w:r>
            <w:proofErr w:type="spellStart"/>
            <w:r w:rsidRPr="007B3603">
              <w:rPr>
                <w:color w:val="000000"/>
                <w:lang w:eastAsia="uk-UA"/>
              </w:rPr>
              <w:t>місцевих</w:t>
            </w:r>
            <w:proofErr w:type="spellEnd"/>
            <w:r w:rsidRPr="007B3603">
              <w:rPr>
                <w:color w:val="000000"/>
                <w:lang w:eastAsia="uk-UA"/>
              </w:rPr>
              <w:t xml:space="preserve"> </w:t>
            </w:r>
            <w:proofErr w:type="spellStart"/>
            <w:r w:rsidRPr="007B3603">
              <w:rPr>
                <w:color w:val="000000"/>
                <w:lang w:eastAsia="uk-UA"/>
              </w:rPr>
              <w:t>бюджетів</w:t>
            </w:r>
            <w:proofErr w:type="spellEnd"/>
            <w:r w:rsidRPr="007B3603">
              <w:rPr>
                <w:color w:val="000000"/>
                <w:lang w:eastAsia="uk-UA"/>
              </w:rPr>
              <w:t xml:space="preserve"> </w:t>
            </w:r>
            <w:proofErr w:type="spellStart"/>
            <w:r w:rsidRPr="007B3603">
              <w:rPr>
                <w:color w:val="000000"/>
                <w:lang w:eastAsia="uk-UA"/>
              </w:rPr>
              <w:t>іншим</w:t>
            </w:r>
            <w:proofErr w:type="spellEnd"/>
            <w:r w:rsidRPr="007B3603">
              <w:rPr>
                <w:color w:val="000000"/>
                <w:lang w:eastAsia="uk-UA"/>
              </w:rPr>
              <w:t xml:space="preserve"> </w:t>
            </w:r>
            <w:proofErr w:type="spellStart"/>
            <w:r w:rsidRPr="007B3603">
              <w:rPr>
                <w:color w:val="000000"/>
                <w:lang w:eastAsia="uk-UA"/>
              </w:rPr>
              <w:t>місцевим</w:t>
            </w:r>
            <w:proofErr w:type="spellEnd"/>
            <w:r w:rsidRPr="007B3603">
              <w:rPr>
                <w:color w:val="000000"/>
                <w:lang w:eastAsia="uk-UA"/>
              </w:rPr>
              <w:t xml:space="preserve"> бюджетам</w:t>
            </w:r>
          </w:p>
        </w:tc>
        <w:tc>
          <w:tcPr>
            <w:tcW w:w="1560" w:type="dxa"/>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4341,2</w:t>
            </w:r>
          </w:p>
        </w:tc>
        <w:tc>
          <w:tcPr>
            <w:tcW w:w="1558"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4341,1</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AA4361" w:rsidRPr="007B3603" w:rsidRDefault="00AA4361" w:rsidP="00447AB1">
            <w:pPr>
              <w:jc w:val="center"/>
              <w:rPr>
                <w:color w:val="000000"/>
                <w:lang w:eastAsia="uk-UA"/>
              </w:rPr>
            </w:pPr>
            <w:r>
              <w:rPr>
                <w:color w:val="000000"/>
                <w:lang w:eastAsia="uk-UA"/>
              </w:rPr>
              <w:t>129,8</w:t>
            </w:r>
          </w:p>
        </w:tc>
        <w:tc>
          <w:tcPr>
            <w:tcW w:w="1135"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sidRPr="007B3603">
              <w:rPr>
                <w:b/>
                <w:bCs/>
                <w:color w:val="000000"/>
                <w:lang w:eastAsia="uk-UA"/>
              </w:rPr>
              <w:t>-</w:t>
            </w:r>
            <w:r>
              <w:rPr>
                <w:b/>
                <w:bCs/>
                <w:color w:val="000000"/>
                <w:lang w:eastAsia="uk-UA"/>
              </w:rPr>
              <w:t>4211,3</w:t>
            </w:r>
          </w:p>
        </w:tc>
        <w:tc>
          <w:tcPr>
            <w:tcW w:w="851" w:type="dxa"/>
            <w:gridSpan w:val="2"/>
            <w:tcBorders>
              <w:top w:val="nil"/>
              <w:left w:val="nil"/>
              <w:bottom w:val="single" w:sz="4" w:space="0" w:color="auto"/>
              <w:right w:val="single" w:sz="4" w:space="0" w:color="auto"/>
            </w:tcBorders>
            <w:shd w:val="clear" w:color="000000" w:fill="CCFFFF"/>
            <w:noWrap/>
            <w:vAlign w:val="center"/>
            <w:hideMark/>
          </w:tcPr>
          <w:p w:rsidR="00AA4361" w:rsidRPr="007B3603" w:rsidRDefault="00AA4361" w:rsidP="00447AB1">
            <w:pPr>
              <w:jc w:val="center"/>
              <w:rPr>
                <w:b/>
                <w:bCs/>
                <w:color w:val="000000"/>
                <w:lang w:eastAsia="uk-UA"/>
              </w:rPr>
            </w:pPr>
            <w:r>
              <w:rPr>
                <w:b/>
                <w:bCs/>
                <w:color w:val="000000"/>
                <w:lang w:eastAsia="uk-UA"/>
              </w:rPr>
              <w:t>3,0</w:t>
            </w:r>
          </w:p>
        </w:tc>
      </w:tr>
      <w:tr w:rsidR="00AA4361" w:rsidRPr="006F1C8F" w:rsidTr="00447AB1">
        <w:trPr>
          <w:trHeight w:val="375"/>
        </w:trPr>
        <w:tc>
          <w:tcPr>
            <w:tcW w:w="1276" w:type="dxa"/>
            <w:tcBorders>
              <w:top w:val="nil"/>
              <w:left w:val="single" w:sz="4" w:space="0" w:color="auto"/>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color w:val="000000"/>
                <w:lang w:eastAsia="uk-UA"/>
              </w:rPr>
            </w:pPr>
            <w:r w:rsidRPr="007B3603">
              <w:rPr>
                <w:b/>
                <w:color w:val="000000"/>
                <w:lang w:eastAsia="uk-UA"/>
              </w:rPr>
              <w:t xml:space="preserve"> </w:t>
            </w:r>
          </w:p>
        </w:tc>
        <w:tc>
          <w:tcPr>
            <w:tcW w:w="3402" w:type="dxa"/>
            <w:tcBorders>
              <w:top w:val="nil"/>
              <w:left w:val="nil"/>
              <w:bottom w:val="single" w:sz="4" w:space="0" w:color="auto"/>
              <w:right w:val="single" w:sz="4" w:space="0" w:color="auto"/>
            </w:tcBorders>
            <w:shd w:val="clear" w:color="000000" w:fill="BCD6EE"/>
            <w:vAlign w:val="center"/>
            <w:hideMark/>
          </w:tcPr>
          <w:p w:rsidR="00AA4361" w:rsidRPr="007B3603" w:rsidRDefault="00AA4361" w:rsidP="00447AB1">
            <w:pPr>
              <w:rPr>
                <w:b/>
                <w:color w:val="000000"/>
                <w:lang w:eastAsia="uk-UA"/>
              </w:rPr>
            </w:pPr>
            <w:proofErr w:type="spellStart"/>
            <w:r w:rsidRPr="007B3603">
              <w:rPr>
                <w:b/>
                <w:color w:val="000000"/>
                <w:lang w:eastAsia="uk-UA"/>
              </w:rPr>
              <w:t>Усього</w:t>
            </w:r>
            <w:proofErr w:type="spellEnd"/>
            <w:r w:rsidRPr="007B3603">
              <w:rPr>
                <w:b/>
                <w:color w:val="000000"/>
                <w:lang w:eastAsia="uk-UA"/>
              </w:rPr>
              <w:t xml:space="preserve"> </w:t>
            </w:r>
            <w:proofErr w:type="gramStart"/>
            <w:r w:rsidRPr="007B3603">
              <w:rPr>
                <w:b/>
                <w:color w:val="000000"/>
                <w:lang w:eastAsia="uk-UA"/>
              </w:rPr>
              <w:t xml:space="preserve">( </w:t>
            </w:r>
            <w:proofErr w:type="gramEnd"/>
            <w:r w:rsidRPr="007B3603">
              <w:rPr>
                <w:b/>
                <w:color w:val="000000"/>
                <w:lang w:eastAsia="uk-UA"/>
              </w:rPr>
              <w:t xml:space="preserve">без </w:t>
            </w:r>
            <w:proofErr w:type="spellStart"/>
            <w:r w:rsidRPr="007B3603">
              <w:rPr>
                <w:b/>
                <w:color w:val="000000"/>
                <w:lang w:eastAsia="uk-UA"/>
              </w:rPr>
              <w:t>урахування</w:t>
            </w:r>
            <w:proofErr w:type="spellEnd"/>
            <w:r w:rsidRPr="007B3603">
              <w:rPr>
                <w:b/>
                <w:color w:val="000000"/>
                <w:lang w:eastAsia="uk-UA"/>
              </w:rPr>
              <w:t xml:space="preserve"> </w:t>
            </w:r>
            <w:proofErr w:type="spellStart"/>
            <w:r w:rsidRPr="007B3603">
              <w:rPr>
                <w:b/>
                <w:color w:val="000000"/>
                <w:lang w:eastAsia="uk-UA"/>
              </w:rPr>
              <w:t>трансфертів</w:t>
            </w:r>
            <w:proofErr w:type="spellEnd"/>
            <w:r w:rsidRPr="007B3603">
              <w:rPr>
                <w:b/>
                <w:color w:val="000000"/>
                <w:lang w:eastAsia="uk-UA"/>
              </w:rPr>
              <w:t xml:space="preserve">) </w:t>
            </w:r>
          </w:p>
        </w:tc>
        <w:tc>
          <w:tcPr>
            <w:tcW w:w="1560" w:type="dxa"/>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color w:val="000000"/>
                <w:lang w:eastAsia="uk-UA"/>
              </w:rPr>
            </w:pPr>
            <w:r>
              <w:rPr>
                <w:b/>
                <w:color w:val="000000"/>
                <w:lang w:eastAsia="uk-UA"/>
              </w:rPr>
              <w:t>3765,3</w:t>
            </w:r>
          </w:p>
        </w:tc>
        <w:tc>
          <w:tcPr>
            <w:tcW w:w="1558" w:type="dxa"/>
            <w:gridSpan w:val="2"/>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color w:val="000000"/>
                <w:lang w:eastAsia="uk-UA"/>
              </w:rPr>
            </w:pPr>
            <w:r>
              <w:rPr>
                <w:b/>
                <w:color w:val="000000"/>
                <w:lang w:eastAsia="uk-UA"/>
              </w:rPr>
              <w:t>1214,0</w:t>
            </w:r>
          </w:p>
        </w:tc>
        <w:tc>
          <w:tcPr>
            <w:tcW w:w="1275" w:type="dxa"/>
            <w:gridSpan w:val="2"/>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color w:val="000000"/>
                <w:lang w:eastAsia="uk-UA"/>
              </w:rPr>
            </w:pPr>
            <w:r>
              <w:rPr>
                <w:b/>
                <w:color w:val="000000"/>
                <w:lang w:eastAsia="uk-UA"/>
              </w:rPr>
              <w:t>1222,9</w:t>
            </w:r>
          </w:p>
        </w:tc>
        <w:tc>
          <w:tcPr>
            <w:tcW w:w="1135" w:type="dxa"/>
            <w:gridSpan w:val="2"/>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bCs/>
                <w:color w:val="000000"/>
                <w:lang w:eastAsia="uk-UA"/>
              </w:rPr>
            </w:pPr>
            <w:r>
              <w:rPr>
                <w:b/>
                <w:bCs/>
                <w:color w:val="000000"/>
                <w:lang w:eastAsia="uk-UA"/>
              </w:rPr>
              <w:t>8,8</w:t>
            </w:r>
          </w:p>
        </w:tc>
        <w:tc>
          <w:tcPr>
            <w:tcW w:w="851" w:type="dxa"/>
            <w:gridSpan w:val="2"/>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bCs/>
                <w:color w:val="000000"/>
                <w:lang w:eastAsia="uk-UA"/>
              </w:rPr>
            </w:pPr>
            <w:r>
              <w:rPr>
                <w:b/>
                <w:bCs/>
                <w:color w:val="000000"/>
                <w:lang w:eastAsia="uk-UA"/>
              </w:rPr>
              <w:t>100,7</w:t>
            </w:r>
          </w:p>
        </w:tc>
      </w:tr>
      <w:tr w:rsidR="00AA4361" w:rsidRPr="006F1C8F" w:rsidTr="00447AB1">
        <w:trPr>
          <w:trHeight w:val="375"/>
        </w:trPr>
        <w:tc>
          <w:tcPr>
            <w:tcW w:w="1276" w:type="dxa"/>
            <w:tcBorders>
              <w:top w:val="nil"/>
              <w:left w:val="single" w:sz="4" w:space="0" w:color="auto"/>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color w:val="000000"/>
                <w:lang w:eastAsia="uk-UA"/>
              </w:rPr>
            </w:pPr>
            <w:r w:rsidRPr="007B3603">
              <w:rPr>
                <w:b/>
                <w:color w:val="000000"/>
                <w:lang w:eastAsia="uk-UA"/>
              </w:rPr>
              <w:t xml:space="preserve"> </w:t>
            </w:r>
          </w:p>
        </w:tc>
        <w:tc>
          <w:tcPr>
            <w:tcW w:w="3402" w:type="dxa"/>
            <w:tcBorders>
              <w:top w:val="nil"/>
              <w:left w:val="nil"/>
              <w:bottom w:val="single" w:sz="4" w:space="0" w:color="auto"/>
              <w:right w:val="single" w:sz="4" w:space="0" w:color="auto"/>
            </w:tcBorders>
            <w:shd w:val="clear" w:color="000000" w:fill="BCD6EE"/>
            <w:vAlign w:val="center"/>
            <w:hideMark/>
          </w:tcPr>
          <w:p w:rsidR="00AA4361" w:rsidRPr="007B3603" w:rsidRDefault="00AA4361" w:rsidP="00447AB1">
            <w:pPr>
              <w:rPr>
                <w:b/>
                <w:color w:val="000000"/>
                <w:lang w:eastAsia="uk-UA"/>
              </w:rPr>
            </w:pPr>
            <w:proofErr w:type="spellStart"/>
            <w:r w:rsidRPr="007B3603">
              <w:rPr>
                <w:b/>
                <w:color w:val="000000"/>
                <w:lang w:eastAsia="uk-UA"/>
              </w:rPr>
              <w:t>Усього</w:t>
            </w:r>
            <w:proofErr w:type="spellEnd"/>
            <w:r w:rsidRPr="007B3603">
              <w:rPr>
                <w:b/>
                <w:color w:val="000000"/>
                <w:lang w:eastAsia="uk-UA"/>
              </w:rPr>
              <w:t xml:space="preserve"> </w:t>
            </w:r>
          </w:p>
        </w:tc>
        <w:tc>
          <w:tcPr>
            <w:tcW w:w="1560" w:type="dxa"/>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color w:val="000000"/>
                <w:lang w:eastAsia="uk-UA"/>
              </w:rPr>
            </w:pPr>
            <w:r>
              <w:rPr>
                <w:b/>
                <w:color w:val="000000"/>
                <w:lang w:eastAsia="uk-UA"/>
              </w:rPr>
              <w:t>8106,5</w:t>
            </w:r>
          </w:p>
        </w:tc>
        <w:tc>
          <w:tcPr>
            <w:tcW w:w="1558" w:type="dxa"/>
            <w:gridSpan w:val="2"/>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color w:val="000000"/>
                <w:lang w:eastAsia="uk-UA"/>
              </w:rPr>
            </w:pPr>
            <w:r>
              <w:rPr>
                <w:b/>
                <w:color w:val="000000"/>
                <w:lang w:eastAsia="uk-UA"/>
              </w:rPr>
              <w:t>5555,2</w:t>
            </w:r>
          </w:p>
        </w:tc>
        <w:tc>
          <w:tcPr>
            <w:tcW w:w="1275" w:type="dxa"/>
            <w:gridSpan w:val="2"/>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color w:val="000000"/>
                <w:lang w:eastAsia="uk-UA"/>
              </w:rPr>
            </w:pPr>
            <w:r>
              <w:rPr>
                <w:b/>
                <w:color w:val="000000"/>
                <w:lang w:eastAsia="uk-UA"/>
              </w:rPr>
              <w:t>1352,7</w:t>
            </w:r>
          </w:p>
        </w:tc>
        <w:tc>
          <w:tcPr>
            <w:tcW w:w="1135" w:type="dxa"/>
            <w:gridSpan w:val="2"/>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bCs/>
                <w:color w:val="000000"/>
                <w:lang w:eastAsia="uk-UA"/>
              </w:rPr>
            </w:pPr>
            <w:r>
              <w:rPr>
                <w:b/>
                <w:bCs/>
                <w:color w:val="000000"/>
                <w:lang w:eastAsia="uk-UA"/>
              </w:rPr>
              <w:t>-4202,5</w:t>
            </w:r>
          </w:p>
        </w:tc>
        <w:tc>
          <w:tcPr>
            <w:tcW w:w="851" w:type="dxa"/>
            <w:gridSpan w:val="2"/>
            <w:tcBorders>
              <w:top w:val="nil"/>
              <w:left w:val="nil"/>
              <w:bottom w:val="single" w:sz="4" w:space="0" w:color="auto"/>
              <w:right w:val="single" w:sz="4" w:space="0" w:color="auto"/>
            </w:tcBorders>
            <w:shd w:val="clear" w:color="000000" w:fill="BCD6EE"/>
            <w:noWrap/>
            <w:vAlign w:val="center"/>
            <w:hideMark/>
          </w:tcPr>
          <w:p w:rsidR="00AA4361" w:rsidRPr="007B3603" w:rsidRDefault="00AA4361" w:rsidP="00447AB1">
            <w:pPr>
              <w:jc w:val="center"/>
              <w:rPr>
                <w:b/>
                <w:bCs/>
                <w:color w:val="000000"/>
                <w:lang w:eastAsia="uk-UA"/>
              </w:rPr>
            </w:pPr>
            <w:r>
              <w:rPr>
                <w:b/>
                <w:bCs/>
                <w:color w:val="000000"/>
                <w:lang w:eastAsia="uk-UA"/>
              </w:rPr>
              <w:t>24,4</w:t>
            </w:r>
          </w:p>
        </w:tc>
      </w:tr>
      <w:tr w:rsidR="00AA4361" w:rsidRPr="006F1C8F" w:rsidTr="00447AB1">
        <w:trPr>
          <w:trHeight w:val="375"/>
        </w:trPr>
        <w:tc>
          <w:tcPr>
            <w:tcW w:w="1276" w:type="dxa"/>
            <w:tcBorders>
              <w:top w:val="nil"/>
              <w:left w:val="nil"/>
              <w:bottom w:val="nil"/>
              <w:right w:val="nil"/>
            </w:tcBorders>
            <w:shd w:val="clear" w:color="auto" w:fill="auto"/>
            <w:noWrap/>
            <w:vAlign w:val="bottom"/>
            <w:hideMark/>
          </w:tcPr>
          <w:p w:rsidR="00AA4361" w:rsidRPr="007B3603" w:rsidRDefault="00AA4361" w:rsidP="00447AB1">
            <w:pPr>
              <w:jc w:val="center"/>
              <w:rPr>
                <w:color w:val="000000"/>
                <w:lang w:eastAsia="uk-UA"/>
              </w:rPr>
            </w:pPr>
          </w:p>
        </w:tc>
        <w:tc>
          <w:tcPr>
            <w:tcW w:w="3402" w:type="dxa"/>
            <w:tcBorders>
              <w:top w:val="nil"/>
              <w:left w:val="nil"/>
              <w:bottom w:val="nil"/>
              <w:right w:val="nil"/>
            </w:tcBorders>
            <w:shd w:val="clear" w:color="auto" w:fill="auto"/>
            <w:vAlign w:val="bottom"/>
            <w:hideMark/>
          </w:tcPr>
          <w:p w:rsidR="00AA4361" w:rsidRPr="007B3603" w:rsidRDefault="00AA4361" w:rsidP="00447AB1">
            <w:pPr>
              <w:rPr>
                <w:color w:val="000000"/>
                <w:lang w:eastAsia="uk-UA"/>
              </w:rPr>
            </w:pPr>
          </w:p>
        </w:tc>
        <w:tc>
          <w:tcPr>
            <w:tcW w:w="1560" w:type="dxa"/>
            <w:tcBorders>
              <w:top w:val="nil"/>
              <w:left w:val="nil"/>
              <w:bottom w:val="nil"/>
              <w:right w:val="nil"/>
            </w:tcBorders>
            <w:shd w:val="clear" w:color="auto" w:fill="auto"/>
            <w:noWrap/>
            <w:vAlign w:val="bottom"/>
            <w:hideMark/>
          </w:tcPr>
          <w:p w:rsidR="00AA4361" w:rsidRPr="007B3603" w:rsidRDefault="00AA4361" w:rsidP="00447AB1">
            <w:pPr>
              <w:rPr>
                <w:color w:val="000000"/>
                <w:lang w:eastAsia="uk-UA"/>
              </w:rPr>
            </w:pPr>
          </w:p>
        </w:tc>
        <w:tc>
          <w:tcPr>
            <w:tcW w:w="1558" w:type="dxa"/>
            <w:gridSpan w:val="2"/>
            <w:tcBorders>
              <w:top w:val="nil"/>
              <w:left w:val="nil"/>
              <w:bottom w:val="nil"/>
              <w:right w:val="nil"/>
            </w:tcBorders>
            <w:shd w:val="clear" w:color="auto" w:fill="auto"/>
            <w:noWrap/>
            <w:vAlign w:val="bottom"/>
            <w:hideMark/>
          </w:tcPr>
          <w:p w:rsidR="00AA4361" w:rsidRPr="007B3603" w:rsidRDefault="00AA4361" w:rsidP="00447AB1">
            <w:pPr>
              <w:rPr>
                <w:color w:val="000000"/>
                <w:lang w:eastAsia="uk-UA"/>
              </w:rPr>
            </w:pPr>
          </w:p>
        </w:tc>
        <w:tc>
          <w:tcPr>
            <w:tcW w:w="1275" w:type="dxa"/>
            <w:gridSpan w:val="2"/>
            <w:tcBorders>
              <w:top w:val="nil"/>
              <w:left w:val="nil"/>
              <w:bottom w:val="nil"/>
              <w:right w:val="nil"/>
            </w:tcBorders>
            <w:shd w:val="clear" w:color="auto" w:fill="auto"/>
            <w:noWrap/>
            <w:vAlign w:val="bottom"/>
            <w:hideMark/>
          </w:tcPr>
          <w:p w:rsidR="00AA4361" w:rsidRPr="007B3603" w:rsidRDefault="00AA4361" w:rsidP="00447AB1">
            <w:pPr>
              <w:rPr>
                <w:color w:val="000000"/>
                <w:lang w:eastAsia="uk-UA"/>
              </w:rPr>
            </w:pPr>
          </w:p>
        </w:tc>
        <w:tc>
          <w:tcPr>
            <w:tcW w:w="1135" w:type="dxa"/>
            <w:gridSpan w:val="2"/>
            <w:tcBorders>
              <w:top w:val="nil"/>
              <w:left w:val="nil"/>
              <w:bottom w:val="nil"/>
              <w:right w:val="nil"/>
            </w:tcBorders>
            <w:shd w:val="clear" w:color="auto" w:fill="auto"/>
            <w:noWrap/>
            <w:vAlign w:val="bottom"/>
            <w:hideMark/>
          </w:tcPr>
          <w:p w:rsidR="00AA4361" w:rsidRPr="007B3603" w:rsidRDefault="00AA4361" w:rsidP="00447AB1">
            <w:pPr>
              <w:rPr>
                <w:color w:val="000000"/>
                <w:lang w:eastAsia="uk-UA"/>
              </w:rPr>
            </w:pPr>
          </w:p>
        </w:tc>
        <w:tc>
          <w:tcPr>
            <w:tcW w:w="851" w:type="dxa"/>
            <w:gridSpan w:val="2"/>
            <w:tcBorders>
              <w:top w:val="nil"/>
              <w:left w:val="nil"/>
              <w:bottom w:val="nil"/>
              <w:right w:val="nil"/>
            </w:tcBorders>
            <w:shd w:val="clear" w:color="auto" w:fill="auto"/>
            <w:noWrap/>
            <w:vAlign w:val="bottom"/>
            <w:hideMark/>
          </w:tcPr>
          <w:p w:rsidR="00AA4361" w:rsidRPr="007B3603" w:rsidRDefault="00AA4361" w:rsidP="00447AB1">
            <w:pPr>
              <w:rPr>
                <w:color w:val="000000"/>
                <w:lang w:eastAsia="uk-UA"/>
              </w:rPr>
            </w:pPr>
          </w:p>
        </w:tc>
      </w:tr>
      <w:tr w:rsidR="00AA4361" w:rsidRPr="006F1C8F" w:rsidTr="00447AB1">
        <w:trPr>
          <w:trHeight w:val="375"/>
        </w:trPr>
        <w:tc>
          <w:tcPr>
            <w:tcW w:w="1276" w:type="dxa"/>
            <w:tcBorders>
              <w:top w:val="single" w:sz="4" w:space="0" w:color="auto"/>
              <w:left w:val="single" w:sz="4" w:space="0" w:color="auto"/>
              <w:bottom w:val="single" w:sz="4" w:space="0" w:color="auto"/>
              <w:right w:val="single" w:sz="4" w:space="0" w:color="auto"/>
            </w:tcBorders>
            <w:shd w:val="clear" w:color="000000" w:fill="DEEBF6"/>
            <w:noWrap/>
            <w:vAlign w:val="center"/>
            <w:hideMark/>
          </w:tcPr>
          <w:p w:rsidR="00AA4361" w:rsidRPr="007B3603" w:rsidRDefault="00AA4361" w:rsidP="00447AB1">
            <w:pPr>
              <w:jc w:val="center"/>
              <w:rPr>
                <w:b/>
                <w:bCs/>
                <w:color w:val="000000"/>
                <w:lang w:eastAsia="uk-UA"/>
              </w:rPr>
            </w:pPr>
            <w:r w:rsidRPr="007B3603">
              <w:rPr>
                <w:b/>
                <w:bCs/>
                <w:color w:val="000000"/>
                <w:lang w:eastAsia="uk-UA"/>
              </w:rPr>
              <w:t xml:space="preserve"> </w:t>
            </w:r>
          </w:p>
        </w:tc>
        <w:tc>
          <w:tcPr>
            <w:tcW w:w="3402" w:type="dxa"/>
            <w:tcBorders>
              <w:top w:val="single" w:sz="4" w:space="0" w:color="auto"/>
              <w:left w:val="nil"/>
              <w:bottom w:val="single" w:sz="4" w:space="0" w:color="auto"/>
              <w:right w:val="single" w:sz="4" w:space="0" w:color="auto"/>
            </w:tcBorders>
            <w:shd w:val="clear" w:color="000000" w:fill="DEEBF6"/>
            <w:vAlign w:val="center"/>
            <w:hideMark/>
          </w:tcPr>
          <w:p w:rsidR="00AA4361" w:rsidRPr="007B3603" w:rsidRDefault="00AA4361" w:rsidP="00447AB1">
            <w:pPr>
              <w:rPr>
                <w:b/>
                <w:bCs/>
                <w:color w:val="000000"/>
                <w:lang w:eastAsia="uk-UA"/>
              </w:rPr>
            </w:pPr>
            <w:r w:rsidRPr="007B3603">
              <w:rPr>
                <w:b/>
                <w:bCs/>
                <w:color w:val="000000"/>
                <w:lang w:eastAsia="uk-UA"/>
              </w:rPr>
              <w:t>РАЗО</w:t>
            </w:r>
            <w:proofErr w:type="gramStart"/>
            <w:r w:rsidRPr="007B3603">
              <w:rPr>
                <w:b/>
                <w:bCs/>
                <w:color w:val="000000"/>
                <w:lang w:eastAsia="uk-UA"/>
              </w:rPr>
              <w:t>М(</w:t>
            </w:r>
            <w:proofErr w:type="gramEnd"/>
            <w:r w:rsidRPr="007B3603">
              <w:rPr>
                <w:b/>
                <w:bCs/>
                <w:color w:val="000000"/>
                <w:lang w:eastAsia="uk-UA"/>
              </w:rPr>
              <w:t xml:space="preserve"> без </w:t>
            </w:r>
            <w:proofErr w:type="spellStart"/>
            <w:r w:rsidRPr="007B3603">
              <w:rPr>
                <w:b/>
                <w:bCs/>
                <w:color w:val="000000"/>
                <w:lang w:eastAsia="uk-UA"/>
              </w:rPr>
              <w:t>урахування</w:t>
            </w:r>
            <w:proofErr w:type="spellEnd"/>
            <w:r w:rsidRPr="007B3603">
              <w:rPr>
                <w:b/>
                <w:bCs/>
                <w:color w:val="000000"/>
                <w:lang w:eastAsia="uk-UA"/>
              </w:rPr>
              <w:t xml:space="preserve"> </w:t>
            </w:r>
            <w:proofErr w:type="spellStart"/>
            <w:r w:rsidRPr="007B3603">
              <w:rPr>
                <w:b/>
                <w:bCs/>
                <w:color w:val="000000"/>
                <w:lang w:eastAsia="uk-UA"/>
              </w:rPr>
              <w:t>трансфертів</w:t>
            </w:r>
            <w:proofErr w:type="spellEnd"/>
            <w:r w:rsidRPr="007B3603">
              <w:rPr>
                <w:b/>
                <w:bCs/>
                <w:color w:val="000000"/>
                <w:lang w:eastAsia="uk-UA"/>
              </w:rPr>
              <w:t xml:space="preserve">) </w:t>
            </w:r>
          </w:p>
        </w:tc>
        <w:tc>
          <w:tcPr>
            <w:tcW w:w="1560" w:type="dxa"/>
            <w:tcBorders>
              <w:top w:val="single" w:sz="4" w:space="0" w:color="auto"/>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color w:val="000000"/>
                <w:lang w:eastAsia="uk-UA"/>
              </w:rPr>
            </w:pPr>
            <w:r>
              <w:rPr>
                <w:b/>
                <w:bCs/>
                <w:color w:val="000000"/>
                <w:lang w:eastAsia="uk-UA"/>
              </w:rPr>
              <w:t>74662,4</w:t>
            </w:r>
          </w:p>
        </w:tc>
        <w:tc>
          <w:tcPr>
            <w:tcW w:w="1558"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color w:val="000000"/>
                <w:lang w:eastAsia="uk-UA"/>
              </w:rPr>
            </w:pPr>
            <w:r>
              <w:rPr>
                <w:b/>
                <w:bCs/>
                <w:color w:val="000000"/>
                <w:lang w:eastAsia="uk-UA"/>
              </w:rPr>
              <w:t>17670,0</w:t>
            </w:r>
          </w:p>
        </w:tc>
        <w:tc>
          <w:tcPr>
            <w:tcW w:w="1275"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color w:val="000000"/>
                <w:lang w:eastAsia="uk-UA"/>
              </w:rPr>
            </w:pPr>
            <w:r>
              <w:rPr>
                <w:b/>
                <w:bCs/>
                <w:color w:val="000000"/>
                <w:lang w:eastAsia="uk-UA"/>
              </w:rPr>
              <w:t>18362,0</w:t>
            </w:r>
          </w:p>
        </w:tc>
        <w:tc>
          <w:tcPr>
            <w:tcW w:w="1135"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lang w:eastAsia="uk-UA"/>
              </w:rPr>
            </w:pPr>
            <w:r>
              <w:rPr>
                <w:b/>
                <w:bCs/>
                <w:lang w:eastAsia="uk-UA"/>
              </w:rPr>
              <w:t>962,0</w:t>
            </w:r>
          </w:p>
        </w:tc>
        <w:tc>
          <w:tcPr>
            <w:tcW w:w="851" w:type="dxa"/>
            <w:gridSpan w:val="2"/>
            <w:tcBorders>
              <w:top w:val="single" w:sz="4" w:space="0" w:color="auto"/>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lang w:eastAsia="uk-UA"/>
              </w:rPr>
            </w:pPr>
            <w:r>
              <w:rPr>
                <w:b/>
                <w:bCs/>
                <w:lang w:eastAsia="uk-UA"/>
              </w:rPr>
              <w:t>105,4</w:t>
            </w:r>
          </w:p>
        </w:tc>
      </w:tr>
      <w:tr w:rsidR="00AA4361" w:rsidRPr="006F1C8F" w:rsidTr="00447AB1">
        <w:trPr>
          <w:trHeight w:val="375"/>
        </w:trPr>
        <w:tc>
          <w:tcPr>
            <w:tcW w:w="1276" w:type="dxa"/>
            <w:tcBorders>
              <w:top w:val="nil"/>
              <w:left w:val="single" w:sz="4" w:space="0" w:color="auto"/>
              <w:bottom w:val="single" w:sz="4" w:space="0" w:color="auto"/>
              <w:right w:val="single" w:sz="4" w:space="0" w:color="auto"/>
            </w:tcBorders>
            <w:shd w:val="clear" w:color="000000" w:fill="DEEBF6"/>
            <w:noWrap/>
            <w:vAlign w:val="center"/>
            <w:hideMark/>
          </w:tcPr>
          <w:p w:rsidR="00AA4361" w:rsidRPr="007B3603" w:rsidRDefault="00AA4361" w:rsidP="00447AB1">
            <w:pPr>
              <w:jc w:val="center"/>
              <w:rPr>
                <w:b/>
                <w:bCs/>
                <w:color w:val="000000"/>
                <w:lang w:eastAsia="uk-UA"/>
              </w:rPr>
            </w:pPr>
            <w:r w:rsidRPr="007B3603">
              <w:rPr>
                <w:b/>
                <w:bCs/>
                <w:color w:val="000000"/>
                <w:lang w:eastAsia="uk-UA"/>
              </w:rPr>
              <w:t xml:space="preserve"> </w:t>
            </w:r>
          </w:p>
        </w:tc>
        <w:tc>
          <w:tcPr>
            <w:tcW w:w="3402" w:type="dxa"/>
            <w:tcBorders>
              <w:top w:val="nil"/>
              <w:left w:val="nil"/>
              <w:bottom w:val="single" w:sz="4" w:space="0" w:color="auto"/>
              <w:right w:val="single" w:sz="4" w:space="0" w:color="auto"/>
            </w:tcBorders>
            <w:shd w:val="clear" w:color="000000" w:fill="DEEBF6"/>
            <w:vAlign w:val="center"/>
            <w:hideMark/>
          </w:tcPr>
          <w:p w:rsidR="00AA4361" w:rsidRPr="007B3603" w:rsidRDefault="00AA4361" w:rsidP="00447AB1">
            <w:pPr>
              <w:rPr>
                <w:b/>
                <w:bCs/>
                <w:color w:val="000000"/>
                <w:lang w:eastAsia="uk-UA"/>
              </w:rPr>
            </w:pPr>
            <w:r w:rsidRPr="007B3603">
              <w:rPr>
                <w:b/>
                <w:bCs/>
                <w:color w:val="000000"/>
                <w:lang w:eastAsia="uk-UA"/>
              </w:rPr>
              <w:t xml:space="preserve">РАЗОМ </w:t>
            </w:r>
          </w:p>
        </w:tc>
        <w:tc>
          <w:tcPr>
            <w:tcW w:w="1560" w:type="dxa"/>
            <w:tcBorders>
              <w:top w:val="nil"/>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color w:val="000000"/>
                <w:lang w:eastAsia="uk-UA"/>
              </w:rPr>
            </w:pPr>
            <w:r>
              <w:rPr>
                <w:b/>
                <w:bCs/>
                <w:color w:val="000000"/>
                <w:lang w:eastAsia="uk-UA"/>
              </w:rPr>
              <w:t>236548,9</w:t>
            </w:r>
          </w:p>
        </w:tc>
        <w:tc>
          <w:tcPr>
            <w:tcW w:w="1558" w:type="dxa"/>
            <w:gridSpan w:val="2"/>
            <w:tcBorders>
              <w:top w:val="nil"/>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color w:val="000000"/>
                <w:lang w:eastAsia="uk-UA"/>
              </w:rPr>
            </w:pPr>
            <w:r>
              <w:rPr>
                <w:b/>
                <w:bCs/>
                <w:color w:val="000000"/>
                <w:lang w:eastAsia="uk-UA"/>
              </w:rPr>
              <w:t>60803,8</w:t>
            </w:r>
          </w:p>
        </w:tc>
        <w:tc>
          <w:tcPr>
            <w:tcW w:w="1275" w:type="dxa"/>
            <w:gridSpan w:val="2"/>
            <w:tcBorders>
              <w:top w:val="nil"/>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color w:val="000000"/>
                <w:lang w:eastAsia="uk-UA"/>
              </w:rPr>
            </w:pPr>
            <w:r>
              <w:rPr>
                <w:b/>
                <w:bCs/>
                <w:color w:val="000000"/>
                <w:lang w:eastAsia="uk-UA"/>
              </w:rPr>
              <w:t>56313,5</w:t>
            </w:r>
          </w:p>
        </w:tc>
        <w:tc>
          <w:tcPr>
            <w:tcW w:w="1135" w:type="dxa"/>
            <w:gridSpan w:val="2"/>
            <w:tcBorders>
              <w:top w:val="nil"/>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lang w:eastAsia="uk-UA"/>
              </w:rPr>
            </w:pPr>
            <w:r>
              <w:rPr>
                <w:b/>
                <w:bCs/>
                <w:lang w:eastAsia="uk-UA"/>
              </w:rPr>
              <w:t>-4490,3</w:t>
            </w:r>
          </w:p>
        </w:tc>
        <w:tc>
          <w:tcPr>
            <w:tcW w:w="851" w:type="dxa"/>
            <w:gridSpan w:val="2"/>
            <w:tcBorders>
              <w:top w:val="nil"/>
              <w:left w:val="nil"/>
              <w:bottom w:val="single" w:sz="4" w:space="0" w:color="auto"/>
              <w:right w:val="single" w:sz="4" w:space="0" w:color="auto"/>
            </w:tcBorders>
            <w:shd w:val="clear" w:color="000000" w:fill="D9E2F3"/>
            <w:noWrap/>
            <w:vAlign w:val="center"/>
            <w:hideMark/>
          </w:tcPr>
          <w:p w:rsidR="00AA4361" w:rsidRPr="007B3603" w:rsidRDefault="00AA4361" w:rsidP="00447AB1">
            <w:pPr>
              <w:jc w:val="center"/>
              <w:rPr>
                <w:b/>
                <w:bCs/>
                <w:lang w:eastAsia="uk-UA"/>
              </w:rPr>
            </w:pPr>
            <w:r>
              <w:rPr>
                <w:b/>
                <w:bCs/>
                <w:lang w:eastAsia="uk-UA"/>
              </w:rPr>
              <w:t>92,6</w:t>
            </w:r>
          </w:p>
        </w:tc>
      </w:tr>
    </w:tbl>
    <w:p w:rsidR="00AA4361" w:rsidRPr="00785AF2" w:rsidRDefault="00AA4361" w:rsidP="00AA4361">
      <w:pPr>
        <w:rPr>
          <w:color w:val="000000"/>
          <w:sz w:val="20"/>
          <w:szCs w:val="20"/>
          <w:lang w:eastAsia="uk-UA"/>
        </w:rPr>
      </w:pPr>
      <w:r>
        <w:rPr>
          <w:color w:val="000000"/>
          <w:sz w:val="18"/>
          <w:szCs w:val="18"/>
          <w:lang w:eastAsia="uk-UA"/>
        </w:rPr>
        <w:br w:type="page"/>
      </w:r>
      <w:r>
        <w:rPr>
          <w:color w:val="000000"/>
          <w:sz w:val="18"/>
          <w:szCs w:val="18"/>
          <w:lang w:eastAsia="uk-UA"/>
        </w:rPr>
        <w:lastRenderedPageBreak/>
        <w:t xml:space="preserve">                                                                                                                                               </w:t>
      </w:r>
      <w:proofErr w:type="spellStart"/>
      <w:r w:rsidRPr="00785AF2">
        <w:rPr>
          <w:color w:val="000000"/>
          <w:sz w:val="20"/>
          <w:szCs w:val="20"/>
          <w:lang w:eastAsia="uk-UA"/>
        </w:rPr>
        <w:t>Додаток</w:t>
      </w:r>
      <w:proofErr w:type="spellEnd"/>
      <w:r w:rsidRPr="00785AF2">
        <w:rPr>
          <w:color w:val="000000"/>
          <w:sz w:val="20"/>
          <w:szCs w:val="20"/>
          <w:lang w:eastAsia="uk-UA"/>
        </w:rPr>
        <w:t xml:space="preserve"> 2                                                      </w:t>
      </w:r>
    </w:p>
    <w:p w:rsidR="00AA4361" w:rsidRPr="00785AF2" w:rsidRDefault="00AA4361" w:rsidP="00AA4361">
      <w:pPr>
        <w:rPr>
          <w:color w:val="000000"/>
          <w:sz w:val="20"/>
          <w:szCs w:val="20"/>
          <w:lang w:val="uk-UA" w:eastAsia="uk-UA"/>
        </w:rPr>
      </w:pPr>
      <w:r w:rsidRPr="00785AF2">
        <w:rPr>
          <w:color w:val="000000"/>
          <w:sz w:val="20"/>
          <w:szCs w:val="20"/>
          <w:lang w:eastAsia="uk-UA"/>
        </w:rPr>
        <w:t xml:space="preserve">                                                                                                      до </w:t>
      </w:r>
      <w:proofErr w:type="spellStart"/>
      <w:proofErr w:type="gramStart"/>
      <w:r w:rsidRPr="00785AF2">
        <w:rPr>
          <w:color w:val="000000"/>
          <w:sz w:val="20"/>
          <w:szCs w:val="20"/>
          <w:lang w:eastAsia="uk-UA"/>
        </w:rPr>
        <w:t>р</w:t>
      </w:r>
      <w:proofErr w:type="gramEnd"/>
      <w:r w:rsidRPr="00785AF2">
        <w:rPr>
          <w:color w:val="000000"/>
          <w:sz w:val="20"/>
          <w:szCs w:val="20"/>
          <w:lang w:eastAsia="uk-UA"/>
        </w:rPr>
        <w:t>ішення</w:t>
      </w:r>
      <w:proofErr w:type="spellEnd"/>
      <w:r w:rsidRPr="00785AF2">
        <w:rPr>
          <w:color w:val="000000"/>
          <w:sz w:val="20"/>
          <w:szCs w:val="20"/>
          <w:lang w:eastAsia="uk-UA"/>
        </w:rPr>
        <w:t xml:space="preserve"> </w:t>
      </w:r>
      <w:r w:rsidRPr="00785AF2">
        <w:rPr>
          <w:color w:val="000000"/>
          <w:sz w:val="20"/>
          <w:szCs w:val="20"/>
          <w:lang w:val="uk-UA" w:eastAsia="uk-UA"/>
        </w:rPr>
        <w:t>сесії селищної ради</w:t>
      </w:r>
    </w:p>
    <w:p w:rsidR="00AA4361" w:rsidRPr="00785AF2" w:rsidRDefault="00AA4361" w:rsidP="00AA4361">
      <w:pPr>
        <w:rPr>
          <w:sz w:val="20"/>
          <w:szCs w:val="20"/>
          <w:lang w:val="uk-UA"/>
        </w:rPr>
      </w:pPr>
      <w:r w:rsidRPr="00785AF2">
        <w:rPr>
          <w:color w:val="000000"/>
          <w:sz w:val="20"/>
          <w:szCs w:val="20"/>
          <w:lang w:eastAsia="uk-UA"/>
        </w:rPr>
        <w:t xml:space="preserve">                                                                                                      </w:t>
      </w:r>
      <w:proofErr w:type="spellStart"/>
      <w:r w:rsidRPr="00785AF2">
        <w:rPr>
          <w:color w:val="000000"/>
          <w:sz w:val="20"/>
          <w:szCs w:val="20"/>
          <w:lang w:eastAsia="uk-UA"/>
        </w:rPr>
        <w:t>від</w:t>
      </w:r>
      <w:proofErr w:type="spellEnd"/>
      <w:r w:rsidRPr="00785AF2">
        <w:rPr>
          <w:color w:val="000000"/>
          <w:sz w:val="20"/>
          <w:szCs w:val="20"/>
          <w:lang w:eastAsia="uk-UA"/>
        </w:rPr>
        <w:t xml:space="preserve"> </w:t>
      </w:r>
      <w:r w:rsidRPr="00785AF2">
        <w:rPr>
          <w:color w:val="000000"/>
          <w:sz w:val="20"/>
          <w:szCs w:val="20"/>
          <w:lang w:val="uk-UA" w:eastAsia="uk-UA"/>
        </w:rPr>
        <w:t>27</w:t>
      </w:r>
      <w:r w:rsidRPr="00785AF2">
        <w:rPr>
          <w:color w:val="000000"/>
          <w:sz w:val="20"/>
          <w:szCs w:val="20"/>
          <w:lang w:eastAsia="uk-UA"/>
        </w:rPr>
        <w:t xml:space="preserve">.04.2023 № </w:t>
      </w:r>
      <w:r w:rsidRPr="00785AF2">
        <w:rPr>
          <w:color w:val="000000"/>
          <w:sz w:val="20"/>
          <w:szCs w:val="20"/>
          <w:lang w:val="uk-UA" w:eastAsia="uk-UA"/>
        </w:rPr>
        <w:t>349-26/2023</w:t>
      </w:r>
    </w:p>
    <w:p w:rsidR="00AA4361" w:rsidRPr="00C17D1B" w:rsidRDefault="00AA4361" w:rsidP="00AA4361">
      <w:pPr>
        <w:tabs>
          <w:tab w:val="left" w:pos="3810"/>
        </w:tabs>
        <w:jc w:val="center"/>
        <w:rPr>
          <w:b/>
          <w:bCs/>
          <w:lang w:eastAsia="uk-UA"/>
        </w:rPr>
      </w:pPr>
      <w:proofErr w:type="spellStart"/>
      <w:r w:rsidRPr="00C17D1B">
        <w:rPr>
          <w:b/>
          <w:bCs/>
          <w:lang w:eastAsia="uk-UA"/>
        </w:rPr>
        <w:t>Звіт</w:t>
      </w:r>
      <w:proofErr w:type="spellEnd"/>
      <w:r w:rsidRPr="00C17D1B">
        <w:rPr>
          <w:b/>
          <w:bCs/>
          <w:lang w:eastAsia="uk-UA"/>
        </w:rPr>
        <w:t xml:space="preserve"> про </w:t>
      </w:r>
      <w:proofErr w:type="spellStart"/>
      <w:r w:rsidRPr="00C17D1B">
        <w:rPr>
          <w:b/>
          <w:bCs/>
          <w:lang w:eastAsia="uk-UA"/>
        </w:rPr>
        <w:t>виконання</w:t>
      </w:r>
      <w:proofErr w:type="spellEnd"/>
      <w:r w:rsidRPr="00C17D1B">
        <w:rPr>
          <w:b/>
          <w:bCs/>
          <w:lang w:eastAsia="uk-UA"/>
        </w:rPr>
        <w:t xml:space="preserve"> </w:t>
      </w:r>
      <w:proofErr w:type="spellStart"/>
      <w:r w:rsidRPr="00C17D1B">
        <w:rPr>
          <w:b/>
          <w:bCs/>
          <w:lang w:eastAsia="uk-UA"/>
        </w:rPr>
        <w:t>видаткової</w:t>
      </w:r>
      <w:proofErr w:type="spellEnd"/>
      <w:r w:rsidRPr="00C17D1B">
        <w:rPr>
          <w:b/>
          <w:bCs/>
          <w:lang w:eastAsia="uk-UA"/>
        </w:rPr>
        <w:t xml:space="preserve"> </w:t>
      </w:r>
      <w:proofErr w:type="spellStart"/>
      <w:r w:rsidRPr="00C17D1B">
        <w:rPr>
          <w:b/>
          <w:bCs/>
          <w:lang w:eastAsia="uk-UA"/>
        </w:rPr>
        <w:t>частини</w:t>
      </w:r>
      <w:proofErr w:type="spellEnd"/>
      <w:r w:rsidRPr="00C17D1B">
        <w:rPr>
          <w:b/>
          <w:bCs/>
          <w:lang w:eastAsia="uk-UA"/>
        </w:rPr>
        <w:t xml:space="preserve"> </w:t>
      </w:r>
    </w:p>
    <w:p w:rsidR="00AA4361" w:rsidRPr="00C17D1B" w:rsidRDefault="00AA4361" w:rsidP="00AA4361">
      <w:pPr>
        <w:tabs>
          <w:tab w:val="left" w:pos="3810"/>
        </w:tabs>
        <w:jc w:val="center"/>
        <w:rPr>
          <w:b/>
          <w:bCs/>
          <w:lang w:eastAsia="uk-UA"/>
        </w:rPr>
      </w:pPr>
      <w:r w:rsidRPr="00C17D1B">
        <w:rPr>
          <w:b/>
          <w:bCs/>
          <w:lang w:eastAsia="uk-UA"/>
        </w:rPr>
        <w:t xml:space="preserve">бюджету </w:t>
      </w:r>
      <w:proofErr w:type="spellStart"/>
      <w:r w:rsidRPr="00C17D1B">
        <w:rPr>
          <w:b/>
          <w:bCs/>
          <w:lang w:eastAsia="uk-UA"/>
        </w:rPr>
        <w:t>Верховинської</w:t>
      </w:r>
      <w:proofErr w:type="spellEnd"/>
      <w:r w:rsidRPr="00C17D1B">
        <w:rPr>
          <w:b/>
          <w:bCs/>
          <w:lang w:eastAsia="uk-UA"/>
        </w:rPr>
        <w:t xml:space="preserve"> </w:t>
      </w:r>
      <w:proofErr w:type="spellStart"/>
      <w:r w:rsidRPr="00C17D1B">
        <w:rPr>
          <w:b/>
          <w:bCs/>
          <w:lang w:eastAsia="uk-UA"/>
        </w:rPr>
        <w:t>територіальної</w:t>
      </w:r>
      <w:proofErr w:type="spellEnd"/>
      <w:r w:rsidRPr="00C17D1B">
        <w:rPr>
          <w:b/>
          <w:bCs/>
          <w:lang w:eastAsia="uk-UA"/>
        </w:rPr>
        <w:t xml:space="preserve"> </w:t>
      </w:r>
      <w:proofErr w:type="spellStart"/>
      <w:r w:rsidRPr="00C17D1B">
        <w:rPr>
          <w:b/>
          <w:bCs/>
          <w:lang w:eastAsia="uk-UA"/>
        </w:rPr>
        <w:t>громади</w:t>
      </w:r>
      <w:proofErr w:type="spellEnd"/>
      <w:r w:rsidRPr="00C17D1B">
        <w:rPr>
          <w:b/>
          <w:bCs/>
          <w:lang w:eastAsia="uk-UA"/>
        </w:rPr>
        <w:t xml:space="preserve"> за І квартал 2023 року</w:t>
      </w:r>
    </w:p>
    <w:p w:rsidR="00AA4361" w:rsidRPr="001D2CC9" w:rsidRDefault="00AA4361" w:rsidP="00AA4361">
      <w:pPr>
        <w:tabs>
          <w:tab w:val="left" w:pos="3810"/>
        </w:tabs>
        <w:jc w:val="center"/>
        <w:rPr>
          <w:b/>
          <w:bCs/>
          <w:sz w:val="28"/>
          <w:szCs w:val="28"/>
          <w:lang w:eastAsia="uk-UA"/>
        </w:rPr>
      </w:pPr>
      <w:r w:rsidRPr="00C17D1B">
        <w:rPr>
          <w:b/>
          <w:bCs/>
          <w:color w:val="000000"/>
          <w:lang w:val="uk-UA" w:eastAsia="uk-UA"/>
        </w:rPr>
        <w:t xml:space="preserve">                                           </w:t>
      </w:r>
      <w:r w:rsidRPr="00E120D8">
        <w:rPr>
          <w:b/>
          <w:bCs/>
          <w:color w:val="000000"/>
          <w:sz w:val="20"/>
          <w:szCs w:val="20"/>
          <w:lang w:eastAsia="uk-UA"/>
        </w:rPr>
        <w:t>ЗАГАЛЬНИЙ ФОНД</w:t>
      </w:r>
      <w:r w:rsidRPr="00E120D8">
        <w:rPr>
          <w:b/>
          <w:bCs/>
          <w:color w:val="000000"/>
          <w:sz w:val="20"/>
          <w:szCs w:val="20"/>
          <w:lang w:val="uk-UA" w:eastAsia="uk-UA"/>
        </w:rPr>
        <w:t xml:space="preserve"> </w:t>
      </w:r>
      <w:r>
        <w:rPr>
          <w:b/>
          <w:bCs/>
          <w:color w:val="000000"/>
          <w:sz w:val="28"/>
          <w:szCs w:val="28"/>
          <w:lang w:val="uk-UA" w:eastAsia="uk-UA"/>
        </w:rPr>
        <w:t xml:space="preserve">                              </w:t>
      </w:r>
      <w:r w:rsidRPr="00FC2ABE">
        <w:rPr>
          <w:bCs/>
          <w:color w:val="000000"/>
          <w:sz w:val="20"/>
          <w:szCs w:val="20"/>
          <w:lang w:eastAsia="uk-UA"/>
        </w:rPr>
        <w:t>тис</w:t>
      </w:r>
      <w:proofErr w:type="gramStart"/>
      <w:r w:rsidRPr="00FC2ABE">
        <w:rPr>
          <w:bCs/>
          <w:color w:val="000000"/>
          <w:sz w:val="20"/>
          <w:szCs w:val="20"/>
          <w:lang w:eastAsia="uk-UA"/>
        </w:rPr>
        <w:t>.</w:t>
      </w:r>
      <w:proofErr w:type="gramEnd"/>
      <w:r w:rsidRPr="00FC2ABE">
        <w:rPr>
          <w:bCs/>
          <w:color w:val="000000"/>
          <w:sz w:val="20"/>
          <w:szCs w:val="20"/>
          <w:lang w:eastAsia="uk-UA"/>
        </w:rPr>
        <w:t xml:space="preserve"> </w:t>
      </w:r>
      <w:proofErr w:type="spellStart"/>
      <w:proofErr w:type="gramStart"/>
      <w:r w:rsidRPr="00FC2ABE">
        <w:rPr>
          <w:bCs/>
          <w:color w:val="000000"/>
          <w:sz w:val="20"/>
          <w:szCs w:val="20"/>
          <w:lang w:eastAsia="uk-UA"/>
        </w:rPr>
        <w:t>г</w:t>
      </w:r>
      <w:proofErr w:type="gramEnd"/>
      <w:r w:rsidRPr="00FC2ABE">
        <w:rPr>
          <w:bCs/>
          <w:color w:val="000000"/>
          <w:sz w:val="20"/>
          <w:szCs w:val="20"/>
          <w:lang w:eastAsia="uk-UA"/>
        </w:rPr>
        <w:t>рн</w:t>
      </w:r>
      <w:proofErr w:type="spellEnd"/>
      <w:r w:rsidRPr="00FC2ABE">
        <w:rPr>
          <w:bCs/>
          <w:color w:val="000000"/>
          <w:sz w:val="20"/>
          <w:szCs w:val="20"/>
          <w:lang w:eastAsia="uk-UA"/>
        </w:rPr>
        <w:t>.</w:t>
      </w:r>
    </w:p>
    <w:tbl>
      <w:tblPr>
        <w:tblW w:w="10065" w:type="dxa"/>
        <w:tblInd w:w="-318" w:type="dxa"/>
        <w:tblLayout w:type="fixed"/>
        <w:tblLook w:val="04A0"/>
      </w:tblPr>
      <w:tblGrid>
        <w:gridCol w:w="724"/>
        <w:gridCol w:w="2963"/>
        <w:gridCol w:w="1418"/>
        <w:gridCol w:w="1417"/>
        <w:gridCol w:w="1105"/>
        <w:gridCol w:w="1248"/>
        <w:gridCol w:w="1190"/>
      </w:tblGrid>
      <w:tr w:rsidR="00AA4361" w:rsidRPr="0031527E" w:rsidTr="00447AB1">
        <w:trPr>
          <w:trHeight w:val="1540"/>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Код</w:t>
            </w:r>
          </w:p>
        </w:tc>
        <w:tc>
          <w:tcPr>
            <w:tcW w:w="2963"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proofErr w:type="spellStart"/>
            <w:r w:rsidRPr="00FC2ABE">
              <w:rPr>
                <w:b/>
                <w:bCs/>
                <w:lang w:eastAsia="uk-UA"/>
              </w:rPr>
              <w:t>Показник</w:t>
            </w:r>
            <w:proofErr w:type="spellEnd"/>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 xml:space="preserve">План на </w:t>
            </w:r>
            <w:proofErr w:type="spellStart"/>
            <w:r>
              <w:rPr>
                <w:b/>
                <w:bCs/>
                <w:lang w:eastAsia="uk-UA"/>
              </w:rPr>
              <w:t>вказаний</w:t>
            </w:r>
            <w:proofErr w:type="spellEnd"/>
            <w:r>
              <w:rPr>
                <w:b/>
                <w:bCs/>
                <w:lang w:eastAsia="uk-UA"/>
              </w:rPr>
              <w:t xml:space="preserve"> </w:t>
            </w:r>
            <w:proofErr w:type="spellStart"/>
            <w:r>
              <w:rPr>
                <w:b/>
                <w:bCs/>
                <w:lang w:eastAsia="uk-UA"/>
              </w:rPr>
              <w:t>період</w:t>
            </w:r>
            <w:proofErr w:type="spellEnd"/>
            <w:r>
              <w:rPr>
                <w:b/>
                <w:bCs/>
                <w:lang w:eastAsia="uk-UA"/>
              </w:rPr>
              <w:t xml:space="preserve"> </w:t>
            </w:r>
            <w:proofErr w:type="spellStart"/>
            <w:r>
              <w:rPr>
                <w:b/>
                <w:bCs/>
                <w:lang w:eastAsia="uk-UA"/>
              </w:rPr>
              <w:t>з</w:t>
            </w:r>
            <w:proofErr w:type="spellEnd"/>
            <w:r w:rsidRPr="00FC2ABE">
              <w:rPr>
                <w:b/>
                <w:bCs/>
                <w:lang w:eastAsia="uk-UA"/>
              </w:rPr>
              <w:t xml:space="preserve"> </w:t>
            </w:r>
            <w:proofErr w:type="spellStart"/>
            <w:r w:rsidRPr="00FC2ABE">
              <w:rPr>
                <w:b/>
                <w:bCs/>
                <w:lang w:eastAsia="uk-UA"/>
              </w:rPr>
              <w:t>урахуван</w:t>
            </w:r>
            <w:r>
              <w:rPr>
                <w:b/>
                <w:bCs/>
                <w:lang w:eastAsia="uk-UA"/>
              </w:rPr>
              <w:t>-</w:t>
            </w:r>
            <w:r w:rsidRPr="00FC2ABE">
              <w:rPr>
                <w:b/>
                <w:bCs/>
                <w:lang w:eastAsia="uk-UA"/>
              </w:rPr>
              <w:t>ням</w:t>
            </w:r>
            <w:proofErr w:type="spellEnd"/>
            <w:r w:rsidRPr="00FC2ABE">
              <w:rPr>
                <w:b/>
                <w:bCs/>
                <w:lang w:eastAsia="uk-UA"/>
              </w:rPr>
              <w:t xml:space="preserve"> </w:t>
            </w:r>
            <w:proofErr w:type="spellStart"/>
            <w:r w:rsidRPr="00FC2ABE">
              <w:rPr>
                <w:b/>
                <w:bCs/>
                <w:lang w:eastAsia="uk-UA"/>
              </w:rPr>
              <w:t>змін</w:t>
            </w:r>
            <w:proofErr w:type="spellEnd"/>
            <w:r w:rsidRPr="00FC2ABE">
              <w:rPr>
                <w:b/>
                <w:bCs/>
                <w:lang w:eastAsia="uk-UA"/>
              </w:rPr>
              <w:t xml:space="preserv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proofErr w:type="spellStart"/>
            <w:r w:rsidRPr="00FC2ABE">
              <w:rPr>
                <w:b/>
                <w:bCs/>
                <w:lang w:eastAsia="uk-UA"/>
              </w:rPr>
              <w:t>Фактично</w:t>
            </w:r>
            <w:proofErr w:type="spellEnd"/>
            <w:r w:rsidRPr="00FC2ABE">
              <w:rPr>
                <w:b/>
                <w:bCs/>
                <w:lang w:eastAsia="uk-UA"/>
              </w:rPr>
              <w:t xml:space="preserve"> </w:t>
            </w:r>
            <w:proofErr w:type="spellStart"/>
            <w:r w:rsidRPr="00FC2ABE">
              <w:rPr>
                <w:b/>
                <w:bCs/>
                <w:lang w:eastAsia="uk-UA"/>
              </w:rPr>
              <w:t>виконано</w:t>
            </w:r>
            <w:proofErr w:type="spellEnd"/>
            <w:r w:rsidRPr="00FC2ABE">
              <w:rPr>
                <w:b/>
                <w:bCs/>
                <w:lang w:eastAsia="uk-UA"/>
              </w:rPr>
              <w:t xml:space="preserve"> за  </w:t>
            </w:r>
            <w:proofErr w:type="spellStart"/>
            <w:r>
              <w:rPr>
                <w:b/>
                <w:bCs/>
                <w:lang w:eastAsia="uk-UA"/>
              </w:rPr>
              <w:t>звітний</w:t>
            </w:r>
            <w:proofErr w:type="spellEnd"/>
            <w:r>
              <w:rPr>
                <w:b/>
                <w:bCs/>
                <w:lang w:eastAsia="uk-UA"/>
              </w:rPr>
              <w:t xml:space="preserve"> </w:t>
            </w:r>
            <w:proofErr w:type="spellStart"/>
            <w:r>
              <w:rPr>
                <w:b/>
                <w:bCs/>
                <w:lang w:eastAsia="uk-UA"/>
              </w:rPr>
              <w:t>період</w:t>
            </w:r>
            <w:proofErr w:type="spellEnd"/>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proofErr w:type="spellStart"/>
            <w:r w:rsidRPr="00FC2ABE">
              <w:rPr>
                <w:b/>
                <w:bCs/>
                <w:lang w:eastAsia="uk-UA"/>
              </w:rPr>
              <w:t>Заборгованість</w:t>
            </w:r>
            <w:proofErr w:type="spellEnd"/>
            <w:r w:rsidRPr="00FC2ABE">
              <w:rPr>
                <w:b/>
                <w:bCs/>
                <w:lang w:eastAsia="uk-UA"/>
              </w:rPr>
              <w:t xml:space="preserve"> </w:t>
            </w:r>
            <w:r>
              <w:rPr>
                <w:b/>
                <w:bCs/>
                <w:lang w:eastAsia="uk-UA"/>
              </w:rPr>
              <w:t>на 01.04.23</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proofErr w:type="spellStart"/>
            <w:r w:rsidRPr="00FC2ABE">
              <w:rPr>
                <w:b/>
                <w:bCs/>
                <w:lang w:val="en-US" w:eastAsia="uk-UA"/>
              </w:rPr>
              <w:t>Відхи</w:t>
            </w:r>
            <w:proofErr w:type="spellEnd"/>
            <w:r>
              <w:rPr>
                <w:b/>
                <w:bCs/>
                <w:lang w:eastAsia="uk-UA"/>
              </w:rPr>
              <w:t>-</w:t>
            </w:r>
            <w:proofErr w:type="spellStart"/>
            <w:r w:rsidRPr="00FC2ABE">
              <w:rPr>
                <w:b/>
                <w:bCs/>
                <w:lang w:val="en-US" w:eastAsia="uk-UA"/>
              </w:rPr>
              <w:t>лення</w:t>
            </w:r>
            <w:proofErr w:type="spellEnd"/>
            <w:r w:rsidRPr="00FC2ABE">
              <w:rPr>
                <w:b/>
                <w:bCs/>
                <w:lang w:val="en-US" w:eastAsia="uk-UA"/>
              </w:rPr>
              <w:t xml:space="preserve"> (</w:t>
            </w:r>
            <w:proofErr w:type="gramStart"/>
            <w:r w:rsidRPr="00FC2ABE">
              <w:rPr>
                <w:b/>
                <w:bCs/>
                <w:lang w:val="en-US" w:eastAsia="uk-UA"/>
              </w:rPr>
              <w:t>+</w:t>
            </w:r>
            <w:r w:rsidRPr="00FC2ABE">
              <w:rPr>
                <w:b/>
                <w:bCs/>
                <w:lang w:eastAsia="uk-UA"/>
              </w:rPr>
              <w:t>;</w:t>
            </w:r>
            <w:proofErr w:type="gramEnd"/>
            <w:r w:rsidRPr="00FC2ABE">
              <w:rPr>
                <w:b/>
                <w:bCs/>
                <w:lang w:eastAsia="uk-UA"/>
              </w:rPr>
              <w:t>-)</w:t>
            </w:r>
          </w:p>
        </w:tc>
        <w:tc>
          <w:tcPr>
            <w:tcW w:w="1190"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 xml:space="preserve">% </w:t>
            </w:r>
            <w:proofErr w:type="spellStart"/>
            <w:r w:rsidRPr="00FC2ABE">
              <w:rPr>
                <w:b/>
                <w:bCs/>
                <w:lang w:eastAsia="uk-UA"/>
              </w:rPr>
              <w:t>вико</w:t>
            </w:r>
            <w:r>
              <w:rPr>
                <w:b/>
                <w:bCs/>
                <w:lang w:eastAsia="uk-UA"/>
              </w:rPr>
              <w:t>-</w:t>
            </w:r>
            <w:r w:rsidRPr="00FC2ABE">
              <w:rPr>
                <w:b/>
                <w:bCs/>
                <w:lang w:eastAsia="uk-UA"/>
              </w:rPr>
              <w:t>нання</w:t>
            </w:r>
            <w:proofErr w:type="spellEnd"/>
            <w:r w:rsidRPr="00FC2ABE">
              <w:rPr>
                <w:b/>
                <w:bCs/>
                <w:lang w:eastAsia="uk-UA"/>
              </w:rPr>
              <w:t xml:space="preserve"> за  </w:t>
            </w:r>
            <w:proofErr w:type="spellStart"/>
            <w:r>
              <w:rPr>
                <w:b/>
                <w:bCs/>
                <w:lang w:eastAsia="uk-UA"/>
              </w:rPr>
              <w:t>звітний</w:t>
            </w:r>
            <w:proofErr w:type="spellEnd"/>
            <w:r>
              <w:rPr>
                <w:b/>
                <w:bCs/>
                <w:lang w:eastAsia="uk-UA"/>
              </w:rPr>
              <w:t xml:space="preserve"> </w:t>
            </w:r>
            <w:proofErr w:type="spellStart"/>
            <w:r>
              <w:rPr>
                <w:b/>
                <w:bCs/>
                <w:lang w:eastAsia="uk-UA"/>
              </w:rPr>
              <w:t>період</w:t>
            </w:r>
            <w:proofErr w:type="spellEnd"/>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1</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2</w:t>
            </w:r>
          </w:p>
        </w:tc>
        <w:tc>
          <w:tcPr>
            <w:tcW w:w="1418"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5</w:t>
            </w:r>
          </w:p>
        </w:tc>
        <w:tc>
          <w:tcPr>
            <w:tcW w:w="1105"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6</w:t>
            </w:r>
          </w:p>
        </w:tc>
        <w:tc>
          <w:tcPr>
            <w:tcW w:w="1248"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7</w:t>
            </w:r>
          </w:p>
        </w:tc>
        <w:tc>
          <w:tcPr>
            <w:tcW w:w="1190"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8</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0100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Державне</w:t>
            </w:r>
            <w:proofErr w:type="spellEnd"/>
            <w:r w:rsidRPr="00FC2ABE">
              <w:rPr>
                <w:lang w:eastAsia="uk-UA"/>
              </w:rPr>
              <w:t xml:space="preserve"> </w:t>
            </w:r>
            <w:proofErr w:type="spellStart"/>
            <w:r w:rsidRPr="00FC2ABE">
              <w:rPr>
                <w:lang w:eastAsia="uk-UA"/>
              </w:rPr>
              <w:t>управління</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4799,9</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3780,3</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89,8</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sidRPr="00FC2ABE">
              <w:rPr>
                <w:b/>
                <w:bCs/>
                <w:lang w:eastAsia="uk-UA"/>
              </w:rPr>
              <w:t>-</w:t>
            </w:r>
            <w:r>
              <w:rPr>
                <w:b/>
                <w:bCs/>
                <w:lang w:eastAsia="uk-UA"/>
              </w:rPr>
              <w:t>1 019,6</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78,7</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1000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Освіта</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51388,6</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45256,3</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2884,5</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-6132,3</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88,1</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2000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Охорона</w:t>
            </w:r>
            <w:proofErr w:type="spellEnd"/>
            <w:r w:rsidRPr="00FC2ABE">
              <w:rPr>
                <w:lang w:eastAsia="uk-UA"/>
              </w:rPr>
              <w:t xml:space="preserve"> </w:t>
            </w:r>
            <w:proofErr w:type="spellStart"/>
            <w:r w:rsidRPr="00FC2ABE">
              <w:rPr>
                <w:lang w:eastAsia="uk-UA"/>
              </w:rPr>
              <w:t>здоров</w:t>
            </w:r>
            <w:proofErr w:type="gramStart"/>
            <w:r w:rsidRPr="00FC2ABE">
              <w:rPr>
                <w:lang w:eastAsia="uk-UA"/>
              </w:rPr>
              <w:t>`я</w:t>
            </w:r>
            <w:proofErr w:type="spellEnd"/>
            <w:proofErr w:type="gram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1659,7</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1097,6</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16,4</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-562,1</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66,1</w:t>
            </w:r>
          </w:p>
        </w:tc>
      </w:tr>
      <w:tr w:rsidR="00AA4361" w:rsidRPr="0031527E" w:rsidTr="00447AB1">
        <w:trPr>
          <w:trHeight w:val="548"/>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3000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proofErr w:type="gramStart"/>
            <w:r w:rsidRPr="00FC2ABE">
              <w:rPr>
                <w:lang w:eastAsia="uk-UA"/>
              </w:rPr>
              <w:t>Соц</w:t>
            </w:r>
            <w:proofErr w:type="gramEnd"/>
            <w:r w:rsidRPr="00FC2ABE">
              <w:rPr>
                <w:lang w:eastAsia="uk-UA"/>
              </w:rPr>
              <w:t>іальний</w:t>
            </w:r>
            <w:proofErr w:type="spellEnd"/>
            <w:r w:rsidRPr="00FC2ABE">
              <w:rPr>
                <w:lang w:eastAsia="uk-UA"/>
              </w:rPr>
              <w:t xml:space="preserve"> </w:t>
            </w:r>
            <w:proofErr w:type="spellStart"/>
            <w:r w:rsidRPr="00FC2ABE">
              <w:rPr>
                <w:lang w:eastAsia="uk-UA"/>
              </w:rPr>
              <w:t>захист</w:t>
            </w:r>
            <w:proofErr w:type="spellEnd"/>
            <w:r w:rsidRPr="00FC2ABE">
              <w:rPr>
                <w:lang w:eastAsia="uk-UA"/>
              </w:rPr>
              <w:t xml:space="preserve"> та </w:t>
            </w:r>
            <w:proofErr w:type="spellStart"/>
            <w:r w:rsidRPr="00FC2ABE">
              <w:rPr>
                <w:lang w:eastAsia="uk-UA"/>
              </w:rPr>
              <w:t>соціальне</w:t>
            </w:r>
            <w:proofErr w:type="spellEnd"/>
            <w:r w:rsidRPr="00FC2ABE">
              <w:rPr>
                <w:lang w:eastAsia="uk-UA"/>
              </w:rPr>
              <w:t xml:space="preserve"> </w:t>
            </w:r>
            <w:proofErr w:type="spellStart"/>
            <w:r w:rsidRPr="00FC2ABE">
              <w:rPr>
                <w:lang w:eastAsia="uk-UA"/>
              </w:rPr>
              <w:t>забезпечення</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2113,5</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1380,1</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p>
          <w:p w:rsidR="00AA4361" w:rsidRPr="00FC2ABE" w:rsidRDefault="00AA4361" w:rsidP="00447AB1">
            <w:pPr>
              <w:jc w:val="center"/>
              <w:rPr>
                <w:b/>
                <w:bCs/>
                <w:lang w:eastAsia="uk-UA"/>
              </w:rPr>
            </w:pPr>
            <w:r>
              <w:rPr>
                <w:b/>
                <w:bCs/>
                <w:lang w:eastAsia="uk-UA"/>
              </w:rPr>
              <w:t>-733,4</w:t>
            </w:r>
          </w:p>
          <w:p w:rsidR="00AA4361" w:rsidRPr="00FC2ABE" w:rsidRDefault="00AA4361" w:rsidP="00447AB1">
            <w:pPr>
              <w:jc w:val="center"/>
              <w:rPr>
                <w:b/>
                <w:bCs/>
                <w:lang w:eastAsia="uk-UA"/>
              </w:rPr>
            </w:pP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65,3</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4000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r w:rsidRPr="00FC2ABE">
              <w:rPr>
                <w:lang w:eastAsia="uk-UA"/>
              </w:rPr>
              <w:t xml:space="preserve">Культура </w:t>
            </w:r>
            <w:proofErr w:type="spellStart"/>
            <w:r w:rsidRPr="00FC2ABE">
              <w:rPr>
                <w:lang w:eastAsia="uk-UA"/>
              </w:rPr>
              <w:t>i</w:t>
            </w:r>
            <w:proofErr w:type="spellEnd"/>
            <w:r w:rsidRPr="00FC2ABE">
              <w:rPr>
                <w:lang w:eastAsia="uk-UA"/>
              </w:rPr>
              <w:t xml:space="preserve"> </w:t>
            </w:r>
            <w:proofErr w:type="spellStart"/>
            <w:r w:rsidRPr="00FC2ABE">
              <w:rPr>
                <w:lang w:eastAsia="uk-UA"/>
              </w:rPr>
              <w:t>мистецтво</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1434,2</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1225,6</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60,2</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sidRPr="00FC2ABE">
              <w:rPr>
                <w:b/>
                <w:bCs/>
                <w:lang w:eastAsia="uk-UA"/>
              </w:rPr>
              <w:t>-</w:t>
            </w:r>
            <w:r>
              <w:rPr>
                <w:b/>
                <w:bCs/>
                <w:lang w:eastAsia="uk-UA"/>
              </w:rPr>
              <w:t>208,6</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85,4</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5000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Ф</w:t>
            </w:r>
            <w:proofErr w:type="gramStart"/>
            <w:r w:rsidRPr="00FC2ABE">
              <w:rPr>
                <w:lang w:eastAsia="uk-UA"/>
              </w:rPr>
              <w:t>i</w:t>
            </w:r>
            <w:proofErr w:type="gramEnd"/>
            <w:r w:rsidRPr="00FC2ABE">
              <w:rPr>
                <w:lang w:eastAsia="uk-UA"/>
              </w:rPr>
              <w:t>зична</w:t>
            </w:r>
            <w:proofErr w:type="spellEnd"/>
            <w:r w:rsidRPr="00FC2ABE">
              <w:rPr>
                <w:lang w:eastAsia="uk-UA"/>
              </w:rPr>
              <w:t xml:space="preserve"> культура </w:t>
            </w:r>
            <w:proofErr w:type="spellStart"/>
            <w:r w:rsidRPr="00FC2ABE">
              <w:rPr>
                <w:lang w:eastAsia="uk-UA"/>
              </w:rPr>
              <w:t>i</w:t>
            </w:r>
            <w:proofErr w:type="spellEnd"/>
            <w:r w:rsidRPr="00FC2ABE">
              <w:rPr>
                <w:lang w:eastAsia="uk-UA"/>
              </w:rPr>
              <w:t xml:space="preserve"> спорт</w:t>
            </w:r>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473,2</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357,9</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72,4</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sidRPr="00FC2ABE">
              <w:rPr>
                <w:b/>
                <w:bCs/>
                <w:lang w:eastAsia="uk-UA"/>
              </w:rPr>
              <w:t>-</w:t>
            </w:r>
            <w:r>
              <w:rPr>
                <w:b/>
                <w:bCs/>
                <w:lang w:eastAsia="uk-UA"/>
              </w:rPr>
              <w:t>115,3</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75,6</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6000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Житлово-комунальне</w:t>
            </w:r>
            <w:proofErr w:type="spellEnd"/>
            <w:r w:rsidRPr="00FC2ABE">
              <w:rPr>
                <w:lang w:eastAsia="uk-UA"/>
              </w:rPr>
              <w:t xml:space="preserve"> </w:t>
            </w:r>
            <w:proofErr w:type="spellStart"/>
            <w:r w:rsidRPr="00FC2ABE">
              <w:rPr>
                <w:lang w:eastAsia="uk-UA"/>
              </w:rPr>
              <w:t>господарство</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1212,8</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201,1</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53,8</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-1011,7</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16,6</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7000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Економічна</w:t>
            </w:r>
            <w:proofErr w:type="spellEnd"/>
            <w:r w:rsidRPr="00FC2ABE">
              <w:rPr>
                <w:lang w:eastAsia="uk-UA"/>
              </w:rPr>
              <w:t xml:space="preserve"> </w:t>
            </w:r>
            <w:proofErr w:type="spellStart"/>
            <w:r w:rsidRPr="00FC2ABE">
              <w:rPr>
                <w:lang w:eastAsia="uk-UA"/>
              </w:rPr>
              <w:t>діяльність</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300,0</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0,0</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-300,0</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0,0</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8000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Інша</w:t>
            </w:r>
            <w:proofErr w:type="spellEnd"/>
            <w:r w:rsidRPr="00FC2ABE">
              <w:rPr>
                <w:lang w:eastAsia="uk-UA"/>
              </w:rPr>
              <w:t xml:space="preserve"> </w:t>
            </w:r>
            <w:proofErr w:type="spellStart"/>
            <w:r w:rsidRPr="00FC2ABE">
              <w:rPr>
                <w:lang w:eastAsia="uk-UA"/>
              </w:rPr>
              <w:t>діяльність</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557,0</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321,0</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sidRPr="00FC2ABE">
              <w:rPr>
                <w:b/>
                <w:bCs/>
                <w:lang w:eastAsia="uk-UA"/>
              </w:rPr>
              <w:t>-</w:t>
            </w:r>
            <w:r>
              <w:rPr>
                <w:b/>
                <w:bCs/>
                <w:lang w:eastAsia="uk-UA"/>
              </w:rPr>
              <w:t>236,0</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57,6</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9000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Міжбюджетні</w:t>
            </w:r>
            <w:proofErr w:type="spellEnd"/>
            <w:r w:rsidRPr="00FC2ABE">
              <w:rPr>
                <w:lang w:eastAsia="uk-UA"/>
              </w:rPr>
              <w:t xml:space="preserve"> </w:t>
            </w:r>
            <w:proofErr w:type="spellStart"/>
            <w:r w:rsidRPr="00FC2ABE">
              <w:rPr>
                <w:lang w:eastAsia="uk-UA"/>
              </w:rPr>
              <w:t>трансферти</w:t>
            </w:r>
            <w:proofErr w:type="spellEnd"/>
          </w:p>
        </w:tc>
        <w:tc>
          <w:tcPr>
            <w:tcW w:w="141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705,3</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414,7</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sidRPr="00FC2ABE">
              <w:rPr>
                <w:b/>
                <w:bCs/>
                <w:lang w:eastAsia="uk-UA"/>
              </w:rPr>
              <w:t>-</w:t>
            </w:r>
            <w:r>
              <w:rPr>
                <w:b/>
                <w:bCs/>
                <w:lang w:eastAsia="uk-UA"/>
              </w:rPr>
              <w:t>290,6</w:t>
            </w:r>
          </w:p>
        </w:tc>
        <w:tc>
          <w:tcPr>
            <w:tcW w:w="119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58,8</w:t>
            </w:r>
          </w:p>
        </w:tc>
      </w:tr>
      <w:tr w:rsidR="00AA4361" w:rsidRPr="0031527E" w:rsidTr="00447AB1">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sidRPr="00FC2ABE">
              <w:rPr>
                <w:b/>
                <w:bCs/>
                <w:lang w:eastAsia="uk-UA"/>
              </w:rPr>
              <w:t xml:space="preserve"> </w:t>
            </w:r>
          </w:p>
        </w:tc>
        <w:tc>
          <w:tcPr>
            <w:tcW w:w="296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AA4361" w:rsidRPr="00FC2ABE" w:rsidRDefault="00AA4361" w:rsidP="00447AB1">
            <w:pPr>
              <w:rPr>
                <w:b/>
                <w:bCs/>
                <w:lang w:eastAsia="uk-UA"/>
              </w:rPr>
            </w:pPr>
            <w:proofErr w:type="spellStart"/>
            <w:r w:rsidRPr="00FC2ABE">
              <w:rPr>
                <w:b/>
                <w:bCs/>
                <w:lang w:eastAsia="uk-UA"/>
              </w:rPr>
              <w:t>Усього</w:t>
            </w:r>
            <w:proofErr w:type="spellEnd"/>
            <w:r w:rsidRPr="00FC2ABE">
              <w:rPr>
                <w:b/>
                <w:bCs/>
                <w:lang w:eastAsia="uk-UA"/>
              </w:rPr>
              <w:t xml:space="preserve"> </w:t>
            </w:r>
          </w:p>
        </w:tc>
        <w:tc>
          <w:tcPr>
            <w:tcW w:w="141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64644,2</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54034,6</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3178,1</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sidRPr="00FC2ABE">
              <w:rPr>
                <w:b/>
                <w:bCs/>
                <w:lang w:eastAsia="uk-UA"/>
              </w:rPr>
              <w:t>-</w:t>
            </w:r>
            <w:r>
              <w:rPr>
                <w:b/>
                <w:bCs/>
                <w:lang w:eastAsia="uk-UA"/>
              </w:rPr>
              <w:t>10609,6</w:t>
            </w:r>
          </w:p>
        </w:tc>
        <w:tc>
          <w:tcPr>
            <w:tcW w:w="119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83,6</w:t>
            </w:r>
          </w:p>
        </w:tc>
      </w:tr>
      <w:tr w:rsidR="00AA4361" w:rsidRPr="0031527E" w:rsidTr="00447AB1">
        <w:trPr>
          <w:trHeight w:val="255"/>
        </w:trPr>
        <w:tc>
          <w:tcPr>
            <w:tcW w:w="724" w:type="dxa"/>
            <w:tcBorders>
              <w:top w:val="nil"/>
              <w:left w:val="nil"/>
              <w:bottom w:val="nil"/>
              <w:right w:val="nil"/>
            </w:tcBorders>
            <w:shd w:val="clear" w:color="000000" w:fill="FFFFFF"/>
            <w:noWrap/>
            <w:vAlign w:val="bottom"/>
            <w:hideMark/>
          </w:tcPr>
          <w:p w:rsidR="00AA4361" w:rsidRPr="0031527E" w:rsidRDefault="00AA4361" w:rsidP="00447AB1">
            <w:pPr>
              <w:jc w:val="center"/>
              <w:rPr>
                <w:sz w:val="20"/>
                <w:szCs w:val="20"/>
                <w:lang w:eastAsia="uk-UA"/>
              </w:rPr>
            </w:pPr>
            <w:r w:rsidRPr="0031527E">
              <w:rPr>
                <w:sz w:val="20"/>
                <w:szCs w:val="20"/>
                <w:lang w:eastAsia="uk-UA"/>
              </w:rPr>
              <w:t> </w:t>
            </w:r>
          </w:p>
        </w:tc>
        <w:tc>
          <w:tcPr>
            <w:tcW w:w="2963" w:type="dxa"/>
            <w:tcBorders>
              <w:top w:val="nil"/>
              <w:left w:val="nil"/>
              <w:bottom w:val="nil"/>
              <w:right w:val="nil"/>
            </w:tcBorders>
            <w:shd w:val="clear" w:color="000000" w:fill="FFFFFF"/>
            <w:vAlign w:val="bottom"/>
            <w:hideMark/>
          </w:tcPr>
          <w:p w:rsidR="00AA4361" w:rsidRPr="0031527E" w:rsidRDefault="00AA4361" w:rsidP="00447AB1">
            <w:pPr>
              <w:rPr>
                <w:sz w:val="20"/>
                <w:szCs w:val="20"/>
                <w:lang w:eastAsia="uk-UA"/>
              </w:rPr>
            </w:pPr>
            <w:r w:rsidRPr="0031527E">
              <w:rPr>
                <w:sz w:val="20"/>
                <w:szCs w:val="20"/>
                <w:lang w:eastAsia="uk-UA"/>
              </w:rPr>
              <w:t> </w:t>
            </w:r>
          </w:p>
        </w:tc>
        <w:tc>
          <w:tcPr>
            <w:tcW w:w="1418" w:type="dxa"/>
            <w:tcBorders>
              <w:top w:val="nil"/>
              <w:left w:val="nil"/>
              <w:bottom w:val="nil"/>
              <w:right w:val="nil"/>
            </w:tcBorders>
            <w:shd w:val="clear" w:color="000000" w:fill="FFFFFF"/>
            <w:noWrap/>
            <w:vAlign w:val="bottom"/>
            <w:hideMark/>
          </w:tcPr>
          <w:p w:rsidR="00AA4361" w:rsidRPr="0031527E" w:rsidRDefault="00AA4361" w:rsidP="00447AB1">
            <w:pPr>
              <w:rPr>
                <w:sz w:val="20"/>
                <w:szCs w:val="20"/>
                <w:lang w:eastAsia="uk-UA"/>
              </w:rPr>
            </w:pPr>
            <w:r w:rsidRPr="0031527E">
              <w:rPr>
                <w:sz w:val="20"/>
                <w:szCs w:val="20"/>
                <w:lang w:eastAsia="uk-UA"/>
              </w:rPr>
              <w:t> </w:t>
            </w:r>
          </w:p>
        </w:tc>
        <w:tc>
          <w:tcPr>
            <w:tcW w:w="1417" w:type="dxa"/>
            <w:tcBorders>
              <w:top w:val="nil"/>
              <w:left w:val="nil"/>
              <w:bottom w:val="nil"/>
              <w:right w:val="nil"/>
            </w:tcBorders>
            <w:shd w:val="clear" w:color="000000" w:fill="FFFFFF"/>
            <w:noWrap/>
            <w:vAlign w:val="bottom"/>
            <w:hideMark/>
          </w:tcPr>
          <w:p w:rsidR="00AA4361" w:rsidRPr="001D2CC9" w:rsidRDefault="00AA4361" w:rsidP="00447AB1">
            <w:pPr>
              <w:rPr>
                <w:sz w:val="20"/>
                <w:szCs w:val="20"/>
                <w:lang w:val="uk-UA" w:eastAsia="uk-UA"/>
              </w:rPr>
            </w:pPr>
          </w:p>
        </w:tc>
        <w:tc>
          <w:tcPr>
            <w:tcW w:w="1105" w:type="dxa"/>
            <w:tcBorders>
              <w:top w:val="nil"/>
              <w:left w:val="nil"/>
              <w:bottom w:val="nil"/>
              <w:right w:val="nil"/>
            </w:tcBorders>
            <w:shd w:val="clear" w:color="000000" w:fill="FFFFFF"/>
            <w:noWrap/>
            <w:vAlign w:val="bottom"/>
            <w:hideMark/>
          </w:tcPr>
          <w:p w:rsidR="00AA4361" w:rsidRPr="0031527E" w:rsidRDefault="00AA4361" w:rsidP="00447AB1">
            <w:pPr>
              <w:rPr>
                <w:sz w:val="20"/>
                <w:szCs w:val="20"/>
                <w:lang w:eastAsia="uk-UA"/>
              </w:rPr>
            </w:pPr>
            <w:r w:rsidRPr="0031527E">
              <w:rPr>
                <w:sz w:val="20"/>
                <w:szCs w:val="20"/>
                <w:lang w:eastAsia="uk-UA"/>
              </w:rPr>
              <w:t> </w:t>
            </w:r>
          </w:p>
        </w:tc>
        <w:tc>
          <w:tcPr>
            <w:tcW w:w="1248" w:type="dxa"/>
            <w:tcBorders>
              <w:top w:val="nil"/>
              <w:left w:val="nil"/>
              <w:bottom w:val="nil"/>
              <w:right w:val="nil"/>
            </w:tcBorders>
            <w:shd w:val="clear" w:color="000000" w:fill="FFFFFF"/>
            <w:noWrap/>
            <w:vAlign w:val="bottom"/>
            <w:hideMark/>
          </w:tcPr>
          <w:p w:rsidR="00AA4361" w:rsidRPr="0031527E" w:rsidRDefault="00AA4361" w:rsidP="00447AB1">
            <w:pPr>
              <w:rPr>
                <w:sz w:val="20"/>
                <w:szCs w:val="20"/>
                <w:lang w:eastAsia="uk-UA"/>
              </w:rPr>
            </w:pPr>
            <w:r w:rsidRPr="0031527E">
              <w:rPr>
                <w:sz w:val="20"/>
                <w:szCs w:val="20"/>
                <w:lang w:eastAsia="uk-UA"/>
              </w:rPr>
              <w:t> </w:t>
            </w:r>
          </w:p>
        </w:tc>
        <w:tc>
          <w:tcPr>
            <w:tcW w:w="1190" w:type="dxa"/>
            <w:tcBorders>
              <w:top w:val="nil"/>
              <w:left w:val="nil"/>
              <w:bottom w:val="nil"/>
              <w:right w:val="nil"/>
            </w:tcBorders>
            <w:shd w:val="clear" w:color="000000" w:fill="FFFFFF"/>
            <w:noWrap/>
            <w:vAlign w:val="bottom"/>
            <w:hideMark/>
          </w:tcPr>
          <w:p w:rsidR="00AA4361" w:rsidRPr="0031527E" w:rsidRDefault="00AA4361" w:rsidP="00447AB1">
            <w:pPr>
              <w:rPr>
                <w:sz w:val="20"/>
                <w:szCs w:val="20"/>
                <w:lang w:eastAsia="uk-UA"/>
              </w:rPr>
            </w:pPr>
            <w:r w:rsidRPr="0031527E">
              <w:rPr>
                <w:sz w:val="20"/>
                <w:szCs w:val="20"/>
                <w:lang w:eastAsia="uk-UA"/>
              </w:rPr>
              <w:t> </w:t>
            </w:r>
          </w:p>
        </w:tc>
      </w:tr>
    </w:tbl>
    <w:p w:rsidR="00AA4361" w:rsidRPr="001D2CC9" w:rsidRDefault="00AA4361" w:rsidP="00AA4361">
      <w:pPr>
        <w:tabs>
          <w:tab w:val="left" w:pos="3810"/>
        </w:tabs>
        <w:jc w:val="center"/>
        <w:rPr>
          <w:b/>
          <w:bCs/>
          <w:lang w:eastAsia="uk-UA"/>
        </w:rPr>
      </w:pPr>
      <w:r>
        <w:rPr>
          <w:b/>
          <w:bCs/>
          <w:color w:val="000000"/>
          <w:lang w:val="uk-UA" w:eastAsia="uk-UA"/>
        </w:rPr>
        <w:t xml:space="preserve">                                    </w:t>
      </w:r>
      <w:r w:rsidRPr="00785AF2">
        <w:rPr>
          <w:b/>
          <w:bCs/>
          <w:color w:val="000000"/>
          <w:sz w:val="20"/>
          <w:szCs w:val="20"/>
          <w:lang w:eastAsia="uk-UA"/>
        </w:rPr>
        <w:t>СПЕЦІАЛЬНИЙ ФОНД</w:t>
      </w:r>
      <w:r w:rsidRPr="00785AF2">
        <w:rPr>
          <w:b/>
          <w:bCs/>
          <w:color w:val="000000"/>
          <w:sz w:val="20"/>
          <w:szCs w:val="20"/>
          <w:lang w:val="uk-UA" w:eastAsia="uk-UA"/>
        </w:rPr>
        <w:t xml:space="preserve">       </w:t>
      </w:r>
      <w:r>
        <w:rPr>
          <w:b/>
          <w:bCs/>
          <w:color w:val="000000"/>
          <w:lang w:val="uk-UA" w:eastAsia="uk-UA"/>
        </w:rPr>
        <w:t xml:space="preserve">                         </w:t>
      </w:r>
      <w:r w:rsidRPr="00FC2ABE">
        <w:rPr>
          <w:bCs/>
          <w:color w:val="000000"/>
          <w:sz w:val="20"/>
          <w:szCs w:val="20"/>
          <w:lang w:eastAsia="uk-UA"/>
        </w:rPr>
        <w:t>тис</w:t>
      </w:r>
      <w:proofErr w:type="gramStart"/>
      <w:r w:rsidRPr="00FC2ABE">
        <w:rPr>
          <w:bCs/>
          <w:color w:val="000000"/>
          <w:sz w:val="20"/>
          <w:szCs w:val="20"/>
          <w:lang w:eastAsia="uk-UA"/>
        </w:rPr>
        <w:t>.</w:t>
      </w:r>
      <w:proofErr w:type="gramEnd"/>
      <w:r w:rsidRPr="00FC2ABE">
        <w:rPr>
          <w:bCs/>
          <w:color w:val="000000"/>
          <w:sz w:val="20"/>
          <w:szCs w:val="20"/>
          <w:lang w:eastAsia="uk-UA"/>
        </w:rPr>
        <w:t xml:space="preserve"> </w:t>
      </w:r>
      <w:proofErr w:type="spellStart"/>
      <w:proofErr w:type="gramStart"/>
      <w:r w:rsidRPr="00FC2ABE">
        <w:rPr>
          <w:bCs/>
          <w:color w:val="000000"/>
          <w:sz w:val="20"/>
          <w:szCs w:val="20"/>
          <w:lang w:eastAsia="uk-UA"/>
        </w:rPr>
        <w:t>г</w:t>
      </w:r>
      <w:proofErr w:type="gramEnd"/>
      <w:r w:rsidRPr="00FC2ABE">
        <w:rPr>
          <w:bCs/>
          <w:color w:val="000000"/>
          <w:sz w:val="20"/>
          <w:szCs w:val="20"/>
          <w:lang w:eastAsia="uk-UA"/>
        </w:rPr>
        <w:t>рн</w:t>
      </w:r>
      <w:proofErr w:type="spellEnd"/>
      <w:r w:rsidRPr="004811B1">
        <w:rPr>
          <w:bCs/>
          <w:color w:val="000000"/>
          <w:sz w:val="16"/>
          <w:szCs w:val="16"/>
          <w:lang w:eastAsia="uk-UA"/>
        </w:rPr>
        <w:t>.</w:t>
      </w:r>
    </w:p>
    <w:tbl>
      <w:tblPr>
        <w:tblW w:w="10009" w:type="dxa"/>
        <w:tblInd w:w="-318" w:type="dxa"/>
        <w:tblLayout w:type="fixed"/>
        <w:tblLook w:val="04A0"/>
      </w:tblPr>
      <w:tblGrid>
        <w:gridCol w:w="724"/>
        <w:gridCol w:w="2963"/>
        <w:gridCol w:w="1560"/>
        <w:gridCol w:w="1417"/>
        <w:gridCol w:w="1105"/>
        <w:gridCol w:w="1248"/>
        <w:gridCol w:w="992"/>
      </w:tblGrid>
      <w:tr w:rsidR="00AA4361" w:rsidRPr="0031527E" w:rsidTr="00447AB1">
        <w:trPr>
          <w:trHeight w:val="1498"/>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Код</w:t>
            </w:r>
          </w:p>
        </w:tc>
        <w:tc>
          <w:tcPr>
            <w:tcW w:w="2963"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proofErr w:type="spellStart"/>
            <w:r w:rsidRPr="00FC2ABE">
              <w:rPr>
                <w:b/>
                <w:bCs/>
                <w:lang w:eastAsia="uk-UA"/>
              </w:rPr>
              <w:t>Показник</w:t>
            </w:r>
            <w:proofErr w:type="spellEnd"/>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 xml:space="preserve">План на </w:t>
            </w:r>
            <w:proofErr w:type="spellStart"/>
            <w:r>
              <w:rPr>
                <w:b/>
                <w:bCs/>
                <w:lang w:eastAsia="uk-UA"/>
              </w:rPr>
              <w:t>вказаний</w:t>
            </w:r>
            <w:proofErr w:type="spellEnd"/>
            <w:r>
              <w:rPr>
                <w:b/>
                <w:bCs/>
                <w:lang w:eastAsia="uk-UA"/>
              </w:rPr>
              <w:t xml:space="preserve"> </w:t>
            </w:r>
            <w:proofErr w:type="spellStart"/>
            <w:r>
              <w:rPr>
                <w:b/>
                <w:bCs/>
                <w:lang w:eastAsia="uk-UA"/>
              </w:rPr>
              <w:t>період</w:t>
            </w:r>
            <w:proofErr w:type="spellEnd"/>
            <w:r>
              <w:rPr>
                <w:b/>
                <w:bCs/>
                <w:lang w:eastAsia="uk-UA"/>
              </w:rPr>
              <w:t xml:space="preserve"> </w:t>
            </w:r>
            <w:proofErr w:type="spellStart"/>
            <w:r>
              <w:rPr>
                <w:b/>
                <w:bCs/>
                <w:lang w:eastAsia="uk-UA"/>
              </w:rPr>
              <w:t>з</w:t>
            </w:r>
            <w:proofErr w:type="spellEnd"/>
            <w:r w:rsidRPr="00FC2ABE">
              <w:rPr>
                <w:b/>
                <w:bCs/>
                <w:lang w:eastAsia="uk-UA"/>
              </w:rPr>
              <w:t xml:space="preserve"> </w:t>
            </w:r>
            <w:proofErr w:type="spellStart"/>
            <w:r w:rsidRPr="00FC2ABE">
              <w:rPr>
                <w:b/>
                <w:bCs/>
                <w:lang w:eastAsia="uk-UA"/>
              </w:rPr>
              <w:t>урахуван</w:t>
            </w:r>
            <w:r>
              <w:rPr>
                <w:b/>
                <w:bCs/>
                <w:lang w:eastAsia="uk-UA"/>
              </w:rPr>
              <w:t>-</w:t>
            </w:r>
            <w:r w:rsidRPr="00FC2ABE">
              <w:rPr>
                <w:b/>
                <w:bCs/>
                <w:lang w:eastAsia="uk-UA"/>
              </w:rPr>
              <w:t>ням</w:t>
            </w:r>
            <w:proofErr w:type="spellEnd"/>
            <w:r w:rsidRPr="00FC2ABE">
              <w:rPr>
                <w:b/>
                <w:bCs/>
                <w:lang w:eastAsia="uk-UA"/>
              </w:rPr>
              <w:t xml:space="preserve"> </w:t>
            </w:r>
            <w:proofErr w:type="spellStart"/>
            <w:r w:rsidRPr="00FC2ABE">
              <w:rPr>
                <w:b/>
                <w:bCs/>
                <w:lang w:eastAsia="uk-UA"/>
              </w:rPr>
              <w:t>змін</w:t>
            </w:r>
            <w:proofErr w:type="spellEnd"/>
            <w:r w:rsidRPr="00FC2ABE">
              <w:rPr>
                <w:b/>
                <w:bCs/>
                <w:lang w:eastAsia="uk-UA"/>
              </w:rPr>
              <w:t xml:space="preserve">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proofErr w:type="spellStart"/>
            <w:r w:rsidRPr="00FC2ABE">
              <w:rPr>
                <w:b/>
                <w:bCs/>
                <w:lang w:eastAsia="uk-UA"/>
              </w:rPr>
              <w:t>Фактично</w:t>
            </w:r>
            <w:proofErr w:type="spellEnd"/>
            <w:r w:rsidRPr="00FC2ABE">
              <w:rPr>
                <w:b/>
                <w:bCs/>
                <w:lang w:eastAsia="uk-UA"/>
              </w:rPr>
              <w:t xml:space="preserve"> </w:t>
            </w:r>
            <w:proofErr w:type="spellStart"/>
            <w:r w:rsidRPr="00FC2ABE">
              <w:rPr>
                <w:b/>
                <w:bCs/>
                <w:lang w:eastAsia="uk-UA"/>
              </w:rPr>
              <w:t>виконано</w:t>
            </w:r>
            <w:proofErr w:type="spellEnd"/>
            <w:r w:rsidRPr="00FC2ABE">
              <w:rPr>
                <w:b/>
                <w:bCs/>
                <w:lang w:eastAsia="uk-UA"/>
              </w:rPr>
              <w:t xml:space="preserve"> за  </w:t>
            </w:r>
            <w:proofErr w:type="spellStart"/>
            <w:r>
              <w:rPr>
                <w:b/>
                <w:bCs/>
                <w:lang w:eastAsia="uk-UA"/>
              </w:rPr>
              <w:t>звітний</w:t>
            </w:r>
            <w:proofErr w:type="spellEnd"/>
            <w:r>
              <w:rPr>
                <w:b/>
                <w:bCs/>
                <w:lang w:eastAsia="uk-UA"/>
              </w:rPr>
              <w:t xml:space="preserve"> </w:t>
            </w:r>
            <w:proofErr w:type="spellStart"/>
            <w:r>
              <w:rPr>
                <w:b/>
                <w:bCs/>
                <w:lang w:eastAsia="uk-UA"/>
              </w:rPr>
              <w:t>період</w:t>
            </w:r>
            <w:proofErr w:type="spellEnd"/>
          </w:p>
        </w:tc>
        <w:tc>
          <w:tcPr>
            <w:tcW w:w="1105"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proofErr w:type="spellStart"/>
            <w:r w:rsidRPr="00FC2ABE">
              <w:rPr>
                <w:b/>
                <w:bCs/>
                <w:lang w:eastAsia="uk-UA"/>
              </w:rPr>
              <w:t>Заборгованість</w:t>
            </w:r>
            <w:proofErr w:type="spellEnd"/>
            <w:r w:rsidRPr="00FC2ABE">
              <w:rPr>
                <w:b/>
                <w:bCs/>
                <w:lang w:eastAsia="uk-UA"/>
              </w:rPr>
              <w:t xml:space="preserve"> </w:t>
            </w:r>
            <w:r>
              <w:rPr>
                <w:b/>
                <w:bCs/>
                <w:lang w:eastAsia="uk-UA"/>
              </w:rPr>
              <w:t>на 01.04.23</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proofErr w:type="spellStart"/>
            <w:r w:rsidRPr="00FC2ABE">
              <w:rPr>
                <w:b/>
                <w:bCs/>
                <w:lang w:val="en-US" w:eastAsia="uk-UA"/>
              </w:rPr>
              <w:t>Відхи</w:t>
            </w:r>
            <w:proofErr w:type="spellEnd"/>
            <w:r>
              <w:rPr>
                <w:b/>
                <w:bCs/>
                <w:lang w:eastAsia="uk-UA"/>
              </w:rPr>
              <w:t>-</w:t>
            </w:r>
            <w:proofErr w:type="spellStart"/>
            <w:r w:rsidRPr="00FC2ABE">
              <w:rPr>
                <w:b/>
                <w:bCs/>
                <w:lang w:val="en-US" w:eastAsia="uk-UA"/>
              </w:rPr>
              <w:t>лення</w:t>
            </w:r>
            <w:proofErr w:type="spellEnd"/>
            <w:r w:rsidRPr="00FC2ABE">
              <w:rPr>
                <w:b/>
                <w:bCs/>
                <w:lang w:val="en-US" w:eastAsia="uk-UA"/>
              </w:rPr>
              <w:t xml:space="preserve"> (</w:t>
            </w:r>
            <w:proofErr w:type="gramStart"/>
            <w:r w:rsidRPr="00FC2ABE">
              <w:rPr>
                <w:b/>
                <w:bCs/>
                <w:lang w:val="en-US" w:eastAsia="uk-UA"/>
              </w:rPr>
              <w:t>+</w:t>
            </w:r>
            <w:r w:rsidRPr="00FC2ABE">
              <w:rPr>
                <w:b/>
                <w:bCs/>
                <w:lang w:eastAsia="uk-UA"/>
              </w:rPr>
              <w:t>;</w:t>
            </w:r>
            <w:proofErr w:type="gramEnd"/>
            <w:r w:rsidRPr="00FC2ABE">
              <w:rPr>
                <w:b/>
                <w:bCs/>
                <w:lang w:eastAsia="uk-UA"/>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 xml:space="preserve">% </w:t>
            </w:r>
            <w:proofErr w:type="spellStart"/>
            <w:r w:rsidRPr="00FC2ABE">
              <w:rPr>
                <w:b/>
                <w:bCs/>
                <w:lang w:eastAsia="uk-UA"/>
              </w:rPr>
              <w:t>вико</w:t>
            </w:r>
            <w:r>
              <w:rPr>
                <w:b/>
                <w:bCs/>
                <w:lang w:eastAsia="uk-UA"/>
              </w:rPr>
              <w:t>-</w:t>
            </w:r>
            <w:r w:rsidRPr="00FC2ABE">
              <w:rPr>
                <w:b/>
                <w:bCs/>
                <w:lang w:eastAsia="uk-UA"/>
              </w:rPr>
              <w:t>нання</w:t>
            </w:r>
            <w:proofErr w:type="spellEnd"/>
            <w:r w:rsidRPr="00FC2ABE">
              <w:rPr>
                <w:b/>
                <w:bCs/>
                <w:lang w:eastAsia="uk-UA"/>
              </w:rPr>
              <w:t xml:space="preserve"> за  </w:t>
            </w:r>
            <w:proofErr w:type="spellStart"/>
            <w:r>
              <w:rPr>
                <w:b/>
                <w:bCs/>
                <w:lang w:eastAsia="uk-UA"/>
              </w:rPr>
              <w:t>звітний</w:t>
            </w:r>
            <w:proofErr w:type="spellEnd"/>
            <w:r>
              <w:rPr>
                <w:b/>
                <w:bCs/>
                <w:lang w:eastAsia="uk-UA"/>
              </w:rPr>
              <w:t xml:space="preserve"> </w:t>
            </w:r>
            <w:proofErr w:type="spellStart"/>
            <w:r>
              <w:rPr>
                <w:b/>
                <w:bCs/>
                <w:lang w:eastAsia="uk-UA"/>
              </w:rPr>
              <w:t>період</w:t>
            </w:r>
            <w:proofErr w:type="spellEnd"/>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1</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2</w:t>
            </w:r>
          </w:p>
        </w:tc>
        <w:tc>
          <w:tcPr>
            <w:tcW w:w="1560"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3</w:t>
            </w:r>
          </w:p>
        </w:tc>
        <w:tc>
          <w:tcPr>
            <w:tcW w:w="1417"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5</w:t>
            </w:r>
          </w:p>
        </w:tc>
        <w:tc>
          <w:tcPr>
            <w:tcW w:w="1105"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6</w:t>
            </w:r>
          </w:p>
        </w:tc>
        <w:tc>
          <w:tcPr>
            <w:tcW w:w="1248"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7</w:t>
            </w:r>
          </w:p>
        </w:tc>
        <w:tc>
          <w:tcPr>
            <w:tcW w:w="992"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jc w:val="center"/>
              <w:rPr>
                <w:b/>
                <w:bCs/>
                <w:lang w:eastAsia="uk-UA"/>
              </w:rPr>
            </w:pPr>
            <w:r w:rsidRPr="00FC2ABE">
              <w:rPr>
                <w:b/>
                <w:bCs/>
                <w:lang w:eastAsia="uk-UA"/>
              </w:rPr>
              <w:t>8</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0100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Державне</w:t>
            </w:r>
            <w:proofErr w:type="spellEnd"/>
            <w:r w:rsidRPr="00FC2ABE">
              <w:rPr>
                <w:lang w:eastAsia="uk-UA"/>
              </w:rPr>
              <w:t xml:space="preserve"> </w:t>
            </w:r>
            <w:proofErr w:type="spellStart"/>
            <w:r w:rsidRPr="00FC2ABE">
              <w:rPr>
                <w:lang w:eastAsia="uk-UA"/>
              </w:rPr>
              <w:t>управління</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37,5</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112,4</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1,</w:t>
            </w:r>
            <w:r>
              <w:rPr>
                <w:lang w:eastAsia="uk-UA"/>
              </w:rPr>
              <w:t>9</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+74,9</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299,6</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1000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Освіта</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1083,2</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657,4</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27</w:t>
            </w:r>
            <w:r>
              <w:rPr>
                <w:lang w:eastAsia="uk-UA"/>
              </w:rPr>
              <w:t>3</w:t>
            </w:r>
            <w:r w:rsidRPr="00FC2ABE">
              <w:rPr>
                <w:lang w:eastAsia="uk-UA"/>
              </w:rPr>
              <w:t>,</w:t>
            </w:r>
            <w:r>
              <w:rPr>
                <w:lang w:eastAsia="uk-UA"/>
              </w:rPr>
              <w:t>9</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-425,8</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60,7</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2000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Охорона</w:t>
            </w:r>
            <w:proofErr w:type="spellEnd"/>
            <w:r w:rsidRPr="00FC2ABE">
              <w:rPr>
                <w:lang w:eastAsia="uk-UA"/>
              </w:rPr>
              <w:t xml:space="preserve"> </w:t>
            </w:r>
            <w:proofErr w:type="spellStart"/>
            <w:r w:rsidRPr="00FC2ABE">
              <w:rPr>
                <w:lang w:eastAsia="uk-UA"/>
              </w:rPr>
              <w:t>здоров</w:t>
            </w:r>
            <w:proofErr w:type="gramStart"/>
            <w:r w:rsidRPr="00FC2ABE">
              <w:rPr>
                <w:lang w:eastAsia="uk-UA"/>
              </w:rPr>
              <w:t>`я</w:t>
            </w:r>
            <w:proofErr w:type="spellEnd"/>
            <w:proofErr w:type="gramEnd"/>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0,0</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0,0</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0,0</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0,0</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3000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proofErr w:type="gramStart"/>
            <w:r w:rsidRPr="00FC2ABE">
              <w:rPr>
                <w:lang w:eastAsia="uk-UA"/>
              </w:rPr>
              <w:t>Соц</w:t>
            </w:r>
            <w:proofErr w:type="gramEnd"/>
            <w:r w:rsidRPr="00FC2ABE">
              <w:rPr>
                <w:lang w:eastAsia="uk-UA"/>
              </w:rPr>
              <w:t>іальний</w:t>
            </w:r>
            <w:proofErr w:type="spellEnd"/>
            <w:r w:rsidRPr="00FC2ABE">
              <w:rPr>
                <w:lang w:eastAsia="uk-UA"/>
              </w:rPr>
              <w:t xml:space="preserve"> </w:t>
            </w:r>
            <w:proofErr w:type="spellStart"/>
            <w:r w:rsidRPr="00FC2ABE">
              <w:rPr>
                <w:lang w:eastAsia="uk-UA"/>
              </w:rPr>
              <w:t>захист</w:t>
            </w:r>
            <w:proofErr w:type="spellEnd"/>
            <w:r w:rsidRPr="00FC2ABE">
              <w:rPr>
                <w:lang w:eastAsia="uk-UA"/>
              </w:rPr>
              <w:t xml:space="preserve"> та </w:t>
            </w:r>
            <w:proofErr w:type="spellStart"/>
            <w:r w:rsidRPr="00FC2ABE">
              <w:rPr>
                <w:lang w:eastAsia="uk-UA"/>
              </w:rPr>
              <w:t>соціальне</w:t>
            </w:r>
            <w:proofErr w:type="spellEnd"/>
            <w:r w:rsidRPr="00FC2ABE">
              <w:rPr>
                <w:lang w:eastAsia="uk-UA"/>
              </w:rPr>
              <w:t xml:space="preserve"> </w:t>
            </w:r>
            <w:proofErr w:type="spellStart"/>
            <w:r w:rsidRPr="00FC2ABE">
              <w:rPr>
                <w:lang w:eastAsia="uk-UA"/>
              </w:rPr>
              <w:t>забезпечення</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123,1</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308,4</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+185,3</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250,5</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4000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r w:rsidRPr="00FC2ABE">
              <w:rPr>
                <w:lang w:eastAsia="uk-UA"/>
              </w:rPr>
              <w:t xml:space="preserve">Культура </w:t>
            </w:r>
            <w:proofErr w:type="spellStart"/>
            <w:r w:rsidRPr="00FC2ABE">
              <w:rPr>
                <w:lang w:eastAsia="uk-UA"/>
              </w:rPr>
              <w:t>i</w:t>
            </w:r>
            <w:proofErr w:type="spellEnd"/>
            <w:r w:rsidRPr="00FC2ABE">
              <w:rPr>
                <w:lang w:eastAsia="uk-UA"/>
              </w:rPr>
              <w:t xml:space="preserve"> </w:t>
            </w:r>
            <w:proofErr w:type="spellStart"/>
            <w:r w:rsidRPr="00FC2ABE">
              <w:rPr>
                <w:lang w:eastAsia="uk-UA"/>
              </w:rPr>
              <w:t>мистецтво</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7,5</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0,0</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-7</w:t>
            </w:r>
            <w:r w:rsidRPr="00FC2ABE">
              <w:rPr>
                <w:b/>
                <w:bCs/>
                <w:lang w:eastAsia="uk-UA"/>
              </w:rPr>
              <w:t>,</w:t>
            </w:r>
            <w:r>
              <w:rPr>
                <w:b/>
                <w:bCs/>
                <w:lang w:eastAsia="uk-U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0,0</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5000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Ф</w:t>
            </w:r>
            <w:proofErr w:type="gramStart"/>
            <w:r w:rsidRPr="00FC2ABE">
              <w:rPr>
                <w:lang w:eastAsia="uk-UA"/>
              </w:rPr>
              <w:t>i</w:t>
            </w:r>
            <w:proofErr w:type="gramEnd"/>
            <w:r w:rsidRPr="00FC2ABE">
              <w:rPr>
                <w:lang w:eastAsia="uk-UA"/>
              </w:rPr>
              <w:t>зична</w:t>
            </w:r>
            <w:proofErr w:type="spellEnd"/>
            <w:r w:rsidRPr="00FC2ABE">
              <w:rPr>
                <w:lang w:eastAsia="uk-UA"/>
              </w:rPr>
              <w:t xml:space="preserve"> культура </w:t>
            </w:r>
            <w:proofErr w:type="spellStart"/>
            <w:r w:rsidRPr="00FC2ABE">
              <w:rPr>
                <w:lang w:eastAsia="uk-UA"/>
              </w:rPr>
              <w:t>i</w:t>
            </w:r>
            <w:proofErr w:type="spellEnd"/>
            <w:r w:rsidRPr="00FC2ABE">
              <w:rPr>
                <w:lang w:eastAsia="uk-UA"/>
              </w:rPr>
              <w:t xml:space="preserve"> спорт</w:t>
            </w:r>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1,8</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10,3</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+8,5</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589,2</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6000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Житлово-комунальне</w:t>
            </w:r>
            <w:proofErr w:type="spellEnd"/>
            <w:r w:rsidRPr="00FC2ABE">
              <w:rPr>
                <w:lang w:eastAsia="uk-UA"/>
              </w:rPr>
              <w:t xml:space="preserve"> </w:t>
            </w:r>
            <w:proofErr w:type="spellStart"/>
            <w:r w:rsidRPr="00FC2ABE">
              <w:rPr>
                <w:lang w:eastAsia="uk-UA"/>
              </w:rPr>
              <w:t>господарство</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8,5</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0,0</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sidRPr="00FC2ABE">
              <w:rPr>
                <w:b/>
                <w:bCs/>
                <w:lang w:eastAsia="uk-UA"/>
              </w:rPr>
              <w:t>-</w:t>
            </w:r>
            <w:r>
              <w:rPr>
                <w:b/>
                <w:bCs/>
                <w:lang w:eastAsia="uk-UA"/>
              </w:rPr>
              <w:t>8</w:t>
            </w:r>
            <w:r w:rsidRPr="00FC2ABE">
              <w:rPr>
                <w:b/>
                <w:bCs/>
                <w:lang w:eastAsia="uk-UA"/>
              </w:rPr>
              <w:t>,5</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0,0</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7000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Економічна</w:t>
            </w:r>
            <w:proofErr w:type="spellEnd"/>
            <w:r w:rsidRPr="00FC2ABE">
              <w:rPr>
                <w:lang w:eastAsia="uk-UA"/>
              </w:rPr>
              <w:t xml:space="preserve"> </w:t>
            </w:r>
            <w:proofErr w:type="spellStart"/>
            <w:r w:rsidRPr="00FC2ABE">
              <w:rPr>
                <w:lang w:eastAsia="uk-UA"/>
              </w:rPr>
              <w:t>діяльність</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664,5</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4514,1</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25,5</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+3849,6</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679,3</w:t>
            </w:r>
          </w:p>
        </w:tc>
      </w:tr>
      <w:tr w:rsidR="00AA4361" w:rsidRPr="0031527E" w:rsidTr="00447AB1">
        <w:trPr>
          <w:trHeight w:val="315"/>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8000</w:t>
            </w:r>
          </w:p>
        </w:tc>
        <w:tc>
          <w:tcPr>
            <w:tcW w:w="2963" w:type="dxa"/>
            <w:tcBorders>
              <w:top w:val="nil"/>
              <w:left w:val="nil"/>
              <w:bottom w:val="single" w:sz="4" w:space="0" w:color="auto"/>
              <w:right w:val="single" w:sz="4" w:space="0" w:color="auto"/>
            </w:tcBorders>
            <w:shd w:val="clear" w:color="000000" w:fill="FFFFFF"/>
            <w:vAlign w:val="center"/>
            <w:hideMark/>
          </w:tcPr>
          <w:p w:rsidR="00AA4361" w:rsidRPr="00FC2ABE" w:rsidRDefault="00AA4361" w:rsidP="00447AB1">
            <w:pPr>
              <w:rPr>
                <w:lang w:eastAsia="uk-UA"/>
              </w:rPr>
            </w:pPr>
            <w:proofErr w:type="spellStart"/>
            <w:r w:rsidRPr="00FC2ABE">
              <w:rPr>
                <w:lang w:eastAsia="uk-UA"/>
              </w:rPr>
              <w:t>Інша</w:t>
            </w:r>
            <w:proofErr w:type="spellEnd"/>
            <w:r w:rsidRPr="00FC2ABE">
              <w:rPr>
                <w:lang w:eastAsia="uk-UA"/>
              </w:rPr>
              <w:t xml:space="preserve"> </w:t>
            </w:r>
            <w:proofErr w:type="spellStart"/>
            <w:r w:rsidRPr="00FC2ABE">
              <w:rPr>
                <w:lang w:eastAsia="uk-UA"/>
              </w:rPr>
              <w:t>діяльність</w:t>
            </w:r>
            <w:proofErr w:type="spellEnd"/>
          </w:p>
        </w:tc>
        <w:tc>
          <w:tcPr>
            <w:tcW w:w="1560"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4211,2</w:t>
            </w:r>
          </w:p>
        </w:tc>
        <w:tc>
          <w:tcPr>
            <w:tcW w:w="1417"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Pr>
                <w:lang w:eastAsia="uk-UA"/>
              </w:rPr>
              <w:t>0,0</w:t>
            </w:r>
          </w:p>
        </w:tc>
        <w:tc>
          <w:tcPr>
            <w:tcW w:w="1105"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lang w:eastAsia="uk-UA"/>
              </w:rPr>
            </w:pPr>
            <w:r w:rsidRPr="00FC2ABE">
              <w:rPr>
                <w:lang w:eastAsia="uk-UA"/>
              </w:rPr>
              <w:t>0,0</w:t>
            </w:r>
          </w:p>
        </w:tc>
        <w:tc>
          <w:tcPr>
            <w:tcW w:w="1248"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sidRPr="00FC2ABE">
              <w:rPr>
                <w:b/>
                <w:bCs/>
                <w:lang w:eastAsia="uk-UA"/>
              </w:rPr>
              <w:t>-</w:t>
            </w:r>
            <w:r>
              <w:rPr>
                <w:b/>
                <w:bCs/>
                <w:lang w:eastAsia="uk-UA"/>
              </w:rPr>
              <w:t>4211,2</w:t>
            </w:r>
          </w:p>
        </w:tc>
        <w:tc>
          <w:tcPr>
            <w:tcW w:w="992" w:type="dxa"/>
            <w:tcBorders>
              <w:top w:val="nil"/>
              <w:left w:val="nil"/>
              <w:bottom w:val="single" w:sz="4" w:space="0" w:color="auto"/>
              <w:right w:val="single" w:sz="4" w:space="0" w:color="auto"/>
            </w:tcBorders>
            <w:shd w:val="clear" w:color="000000" w:fill="FFFFFF"/>
            <w:noWrap/>
            <w:vAlign w:val="center"/>
            <w:hideMark/>
          </w:tcPr>
          <w:p w:rsidR="00AA4361" w:rsidRPr="00FC2ABE" w:rsidRDefault="00AA4361" w:rsidP="00447AB1">
            <w:pPr>
              <w:jc w:val="center"/>
              <w:rPr>
                <w:b/>
                <w:bCs/>
                <w:lang w:eastAsia="uk-UA"/>
              </w:rPr>
            </w:pPr>
            <w:r>
              <w:rPr>
                <w:b/>
                <w:bCs/>
                <w:lang w:eastAsia="uk-UA"/>
              </w:rPr>
              <w:t>0,0</w:t>
            </w:r>
          </w:p>
        </w:tc>
      </w:tr>
      <w:tr w:rsidR="00AA4361" w:rsidRPr="0031527E" w:rsidTr="00447AB1">
        <w:trPr>
          <w:trHeight w:val="315"/>
        </w:trPr>
        <w:tc>
          <w:tcPr>
            <w:tcW w:w="72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lang w:eastAsia="uk-UA"/>
              </w:rPr>
            </w:pPr>
            <w:r w:rsidRPr="00FC2ABE">
              <w:rPr>
                <w:lang w:eastAsia="uk-UA"/>
              </w:rPr>
              <w:t xml:space="preserve"> </w:t>
            </w:r>
          </w:p>
        </w:tc>
        <w:tc>
          <w:tcPr>
            <w:tcW w:w="2963"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AA4361" w:rsidRPr="00FC2ABE" w:rsidRDefault="00AA4361" w:rsidP="00447AB1">
            <w:pPr>
              <w:rPr>
                <w:lang w:eastAsia="uk-UA"/>
              </w:rPr>
            </w:pPr>
            <w:proofErr w:type="spellStart"/>
            <w:r w:rsidRPr="00FC2ABE">
              <w:rPr>
                <w:lang w:eastAsia="uk-UA"/>
              </w:rPr>
              <w:t>Усього</w:t>
            </w:r>
            <w:proofErr w:type="spellEnd"/>
            <w:r w:rsidRPr="00FC2ABE">
              <w:rPr>
                <w:lang w:eastAsia="uk-UA"/>
              </w:rPr>
              <w:t xml:space="preserve"> </w:t>
            </w:r>
          </w:p>
        </w:tc>
        <w:tc>
          <w:tcPr>
            <w:tcW w:w="15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6137,3</w:t>
            </w:r>
          </w:p>
        </w:tc>
        <w:tc>
          <w:tcPr>
            <w:tcW w:w="14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5602,6</w:t>
            </w:r>
          </w:p>
        </w:tc>
        <w:tc>
          <w:tcPr>
            <w:tcW w:w="110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301,2</w:t>
            </w:r>
          </w:p>
        </w:tc>
        <w:tc>
          <w:tcPr>
            <w:tcW w:w="1248"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-534,7</w:t>
            </w:r>
          </w:p>
        </w:tc>
        <w:tc>
          <w:tcPr>
            <w:tcW w:w="992"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AA4361" w:rsidRPr="00FC2ABE" w:rsidRDefault="00AA4361" w:rsidP="00447AB1">
            <w:pPr>
              <w:jc w:val="center"/>
              <w:rPr>
                <w:b/>
                <w:bCs/>
                <w:lang w:eastAsia="uk-UA"/>
              </w:rPr>
            </w:pPr>
            <w:r>
              <w:rPr>
                <w:b/>
                <w:bCs/>
                <w:lang w:eastAsia="uk-UA"/>
              </w:rPr>
              <w:t>91,3</w:t>
            </w:r>
          </w:p>
        </w:tc>
      </w:tr>
    </w:tbl>
    <w:p w:rsidR="00AA4361" w:rsidRPr="001D2CC9" w:rsidRDefault="00AA4361" w:rsidP="00AA4361">
      <w:pPr>
        <w:tabs>
          <w:tab w:val="left" w:pos="3810"/>
        </w:tabs>
        <w:ind w:left="720"/>
      </w:pPr>
      <w:r>
        <w:t xml:space="preserve">*План на </w:t>
      </w:r>
      <w:proofErr w:type="spellStart"/>
      <w:proofErr w:type="gramStart"/>
      <w:r>
        <w:t>р</w:t>
      </w:r>
      <w:proofErr w:type="gramEnd"/>
      <w:r>
        <w:t>ік</w:t>
      </w:r>
      <w:proofErr w:type="spellEnd"/>
      <w:r>
        <w:t xml:space="preserve"> не </w:t>
      </w:r>
      <w:proofErr w:type="spellStart"/>
      <w:r>
        <w:t>включає</w:t>
      </w:r>
      <w:proofErr w:type="spellEnd"/>
      <w:r>
        <w:t xml:space="preserve"> </w:t>
      </w:r>
      <w:proofErr w:type="spellStart"/>
      <w:r>
        <w:t>надходження</w:t>
      </w:r>
      <w:proofErr w:type="spellEnd"/>
      <w:r>
        <w:t xml:space="preserve"> </w:t>
      </w:r>
      <w:proofErr w:type="spellStart"/>
      <w:r>
        <w:t>благодійних</w:t>
      </w:r>
      <w:proofErr w:type="spellEnd"/>
      <w:r>
        <w:t xml:space="preserve"> </w:t>
      </w:r>
      <w:proofErr w:type="spellStart"/>
      <w:r>
        <w:t>внесків</w:t>
      </w:r>
      <w:proofErr w:type="spellEnd"/>
      <w:r>
        <w:t xml:space="preserve">, </w:t>
      </w:r>
      <w:proofErr w:type="spellStart"/>
      <w:r>
        <w:t>грантів</w:t>
      </w:r>
      <w:proofErr w:type="spellEnd"/>
      <w:r>
        <w:t xml:space="preserve">, </w:t>
      </w:r>
      <w:proofErr w:type="spellStart"/>
      <w:r>
        <w:t>дарунків</w:t>
      </w:r>
      <w:proofErr w:type="spellEnd"/>
      <w:r>
        <w:t xml:space="preserve"> та </w:t>
      </w:r>
      <w:proofErr w:type="spellStart"/>
      <w:r>
        <w:t>інших</w:t>
      </w:r>
      <w:proofErr w:type="spellEnd"/>
      <w:r>
        <w:t xml:space="preserve"> </w:t>
      </w:r>
      <w:proofErr w:type="spellStart"/>
      <w:r>
        <w:t>надходжень</w:t>
      </w:r>
      <w:proofErr w:type="spellEnd"/>
    </w:p>
    <w:p w:rsidR="00E0705A" w:rsidRDefault="00E0705A"/>
    <w:sectPr w:rsidR="00E0705A" w:rsidSect="00E0705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933"/>
    <w:multiLevelType w:val="hybridMultilevel"/>
    <w:tmpl w:val="C3201B7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EAB66CD"/>
    <w:multiLevelType w:val="hybridMultilevel"/>
    <w:tmpl w:val="D41812F2"/>
    <w:lvl w:ilvl="0" w:tplc="0422000B">
      <w:start w:val="1"/>
      <w:numFmt w:val="bullet"/>
      <w:lvlText w:val=""/>
      <w:lvlJc w:val="left"/>
      <w:pPr>
        <w:ind w:left="1485" w:hanging="360"/>
      </w:pPr>
      <w:rPr>
        <w:rFonts w:ascii="Wingdings" w:hAnsi="Wingdings" w:hint="default"/>
      </w:rPr>
    </w:lvl>
    <w:lvl w:ilvl="1" w:tplc="04220003" w:tentative="1">
      <w:start w:val="1"/>
      <w:numFmt w:val="bullet"/>
      <w:lvlText w:val="o"/>
      <w:lvlJc w:val="left"/>
      <w:pPr>
        <w:ind w:left="2205" w:hanging="360"/>
      </w:pPr>
      <w:rPr>
        <w:rFonts w:ascii="Courier New" w:hAnsi="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2">
    <w:nsid w:val="0FA01EED"/>
    <w:multiLevelType w:val="hybridMultilevel"/>
    <w:tmpl w:val="A95CC68C"/>
    <w:lvl w:ilvl="0" w:tplc="F490C4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12910AC5"/>
    <w:multiLevelType w:val="multilevel"/>
    <w:tmpl w:val="8CF64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B06A2A"/>
    <w:multiLevelType w:val="hybridMultilevel"/>
    <w:tmpl w:val="6FF8053E"/>
    <w:lvl w:ilvl="0" w:tplc="7466D47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27A814D2"/>
    <w:multiLevelType w:val="hybridMultilevel"/>
    <w:tmpl w:val="B3BE36F4"/>
    <w:lvl w:ilvl="0" w:tplc="8E5262E0">
      <w:numFmt w:val="bullet"/>
      <w:lvlText w:val="-"/>
      <w:lvlJc w:val="left"/>
      <w:pPr>
        <w:tabs>
          <w:tab w:val="num" w:pos="600"/>
        </w:tabs>
        <w:ind w:left="600" w:hanging="42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7CF579A"/>
    <w:multiLevelType w:val="hybridMultilevel"/>
    <w:tmpl w:val="470E78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8D82320"/>
    <w:multiLevelType w:val="hybridMultilevel"/>
    <w:tmpl w:val="16CAA45A"/>
    <w:lvl w:ilvl="0" w:tplc="4D285450">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32064009"/>
    <w:multiLevelType w:val="hybridMultilevel"/>
    <w:tmpl w:val="8174BFF8"/>
    <w:lvl w:ilvl="0" w:tplc="9B1600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33FE5469"/>
    <w:multiLevelType w:val="hybridMultilevel"/>
    <w:tmpl w:val="F9EECC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82D6386"/>
    <w:multiLevelType w:val="hybridMultilevel"/>
    <w:tmpl w:val="3E7437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AE35822"/>
    <w:multiLevelType w:val="hybridMultilevel"/>
    <w:tmpl w:val="A4FA7942"/>
    <w:lvl w:ilvl="0" w:tplc="0B0071A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4">
    <w:nsid w:val="42267626"/>
    <w:multiLevelType w:val="multilevel"/>
    <w:tmpl w:val="AFF60C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7753A5"/>
    <w:multiLevelType w:val="hybridMultilevel"/>
    <w:tmpl w:val="DE2A9FA0"/>
    <w:lvl w:ilvl="0" w:tplc="96F0D96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F176593"/>
    <w:multiLevelType w:val="hybridMultilevel"/>
    <w:tmpl w:val="EE5618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1A4A24"/>
    <w:multiLevelType w:val="multilevel"/>
    <w:tmpl w:val="0DA4B0D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414825"/>
    <w:multiLevelType w:val="hybridMultilevel"/>
    <w:tmpl w:val="EB583138"/>
    <w:lvl w:ilvl="0" w:tplc="0419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6B4E5A0C"/>
    <w:multiLevelType w:val="hybridMultilevel"/>
    <w:tmpl w:val="BC1CF7C8"/>
    <w:lvl w:ilvl="0" w:tplc="E3AAA836">
      <w:start w:val="5"/>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2EF1108"/>
    <w:multiLevelType w:val="hybridMultilevel"/>
    <w:tmpl w:val="1B70E47C"/>
    <w:lvl w:ilvl="0" w:tplc="0419000D">
      <w:start w:val="1"/>
      <w:numFmt w:val="bullet"/>
      <w:lvlText w:val=""/>
      <w:lvlJc w:val="left"/>
      <w:pPr>
        <w:ind w:left="1356" w:hanging="360"/>
      </w:pPr>
      <w:rPr>
        <w:rFonts w:ascii="Wingdings" w:hAnsi="Wingdings" w:hint="default"/>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1">
    <w:nsid w:val="7C90712C"/>
    <w:multiLevelType w:val="multilevel"/>
    <w:tmpl w:val="C682E7AC"/>
    <w:lvl w:ilvl="0">
      <w:start w:val="1"/>
      <w:numFmt w:val="decimal"/>
      <w:lvlText w:val="%1."/>
      <w:lvlJc w:val="left"/>
      <w:pPr>
        <w:tabs>
          <w:tab w:val="num" w:pos="502"/>
        </w:tabs>
        <w:ind w:left="502" w:hanging="360"/>
      </w:pPr>
      <w:rPr>
        <w:rFonts w:cs="Times New Roman"/>
      </w:rPr>
    </w:lvl>
    <w:lvl w:ilvl="1" w:tentative="1">
      <w:start w:val="1"/>
      <w:numFmt w:val="decimal"/>
      <w:lvlText w:val="%2."/>
      <w:lvlJc w:val="left"/>
      <w:pPr>
        <w:tabs>
          <w:tab w:val="num" w:pos="1156"/>
        </w:tabs>
        <w:ind w:left="1156" w:hanging="360"/>
      </w:pPr>
      <w:rPr>
        <w:rFonts w:cs="Times New Roman"/>
      </w:rPr>
    </w:lvl>
    <w:lvl w:ilvl="2" w:tentative="1">
      <w:start w:val="1"/>
      <w:numFmt w:val="decimal"/>
      <w:lvlText w:val="%3."/>
      <w:lvlJc w:val="left"/>
      <w:pPr>
        <w:tabs>
          <w:tab w:val="num" w:pos="1876"/>
        </w:tabs>
        <w:ind w:left="1876" w:hanging="360"/>
      </w:pPr>
      <w:rPr>
        <w:rFonts w:cs="Times New Roman"/>
      </w:rPr>
    </w:lvl>
    <w:lvl w:ilvl="3" w:tentative="1">
      <w:start w:val="1"/>
      <w:numFmt w:val="decimal"/>
      <w:lvlText w:val="%4."/>
      <w:lvlJc w:val="left"/>
      <w:pPr>
        <w:tabs>
          <w:tab w:val="num" w:pos="2596"/>
        </w:tabs>
        <w:ind w:left="2596" w:hanging="360"/>
      </w:pPr>
      <w:rPr>
        <w:rFonts w:cs="Times New Roman"/>
      </w:rPr>
    </w:lvl>
    <w:lvl w:ilvl="4" w:tentative="1">
      <w:start w:val="1"/>
      <w:numFmt w:val="decimal"/>
      <w:lvlText w:val="%5."/>
      <w:lvlJc w:val="left"/>
      <w:pPr>
        <w:tabs>
          <w:tab w:val="num" w:pos="3316"/>
        </w:tabs>
        <w:ind w:left="3316" w:hanging="360"/>
      </w:pPr>
      <w:rPr>
        <w:rFonts w:cs="Times New Roman"/>
      </w:rPr>
    </w:lvl>
    <w:lvl w:ilvl="5" w:tentative="1">
      <w:start w:val="1"/>
      <w:numFmt w:val="decimal"/>
      <w:lvlText w:val="%6."/>
      <w:lvlJc w:val="left"/>
      <w:pPr>
        <w:tabs>
          <w:tab w:val="num" w:pos="4036"/>
        </w:tabs>
        <w:ind w:left="4036" w:hanging="360"/>
      </w:pPr>
      <w:rPr>
        <w:rFonts w:cs="Times New Roman"/>
      </w:rPr>
    </w:lvl>
    <w:lvl w:ilvl="6" w:tentative="1">
      <w:start w:val="1"/>
      <w:numFmt w:val="decimal"/>
      <w:lvlText w:val="%7."/>
      <w:lvlJc w:val="left"/>
      <w:pPr>
        <w:tabs>
          <w:tab w:val="num" w:pos="4756"/>
        </w:tabs>
        <w:ind w:left="4756" w:hanging="360"/>
      </w:pPr>
      <w:rPr>
        <w:rFonts w:cs="Times New Roman"/>
      </w:rPr>
    </w:lvl>
    <w:lvl w:ilvl="7" w:tentative="1">
      <w:start w:val="1"/>
      <w:numFmt w:val="decimal"/>
      <w:lvlText w:val="%8."/>
      <w:lvlJc w:val="left"/>
      <w:pPr>
        <w:tabs>
          <w:tab w:val="num" w:pos="5476"/>
        </w:tabs>
        <w:ind w:left="5476" w:hanging="360"/>
      </w:pPr>
      <w:rPr>
        <w:rFonts w:cs="Times New Roman"/>
      </w:rPr>
    </w:lvl>
    <w:lvl w:ilvl="8" w:tentative="1">
      <w:start w:val="1"/>
      <w:numFmt w:val="decimal"/>
      <w:lvlText w:val="%9."/>
      <w:lvlJc w:val="left"/>
      <w:pPr>
        <w:tabs>
          <w:tab w:val="num" w:pos="6196"/>
        </w:tabs>
        <w:ind w:left="6196" w:hanging="360"/>
      </w:pPr>
      <w:rPr>
        <w:rFonts w:cs="Times New Roman"/>
      </w:rPr>
    </w:lvl>
  </w:abstractNum>
  <w:abstractNum w:abstractNumId="22">
    <w:nsid w:val="7CE65DEC"/>
    <w:multiLevelType w:val="multilevel"/>
    <w:tmpl w:val="ED92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1"/>
  </w:num>
  <w:num w:numId="4">
    <w:abstractNumId w:val="15"/>
  </w:num>
  <w:num w:numId="5">
    <w:abstractNumId w:val="3"/>
  </w:num>
  <w:num w:numId="6">
    <w:abstractNumId w:val="9"/>
  </w:num>
  <w:num w:numId="7">
    <w:abstractNumId w:val="20"/>
  </w:num>
  <w:num w:numId="8">
    <w:abstractNumId w:val="13"/>
  </w:num>
  <w:num w:numId="9">
    <w:abstractNumId w:val="4"/>
  </w:num>
  <w:num w:numId="10">
    <w:abstractNumId w:val="22"/>
  </w:num>
  <w:num w:numId="11">
    <w:abstractNumId w:val="14"/>
  </w:num>
  <w:num w:numId="12">
    <w:abstractNumId w:val="17"/>
  </w:num>
  <w:num w:numId="13">
    <w:abstractNumId w:val="19"/>
  </w:num>
  <w:num w:numId="14">
    <w:abstractNumId w:val="12"/>
  </w:num>
  <w:num w:numId="15">
    <w:abstractNumId w:val="6"/>
  </w:num>
  <w:num w:numId="16">
    <w:abstractNumId w:val="21"/>
  </w:num>
  <w:num w:numId="17">
    <w:abstractNumId w:val="18"/>
  </w:num>
  <w:num w:numId="18">
    <w:abstractNumId w:val="16"/>
  </w:num>
  <w:num w:numId="19">
    <w:abstractNumId w:val="5"/>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4361"/>
    <w:rsid w:val="00130812"/>
    <w:rsid w:val="00AA4361"/>
    <w:rsid w:val="00E070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36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mail-standard1">
    <w:name w:val="gmail-standard1"/>
    <w:basedOn w:val="a"/>
    <w:uiPriority w:val="99"/>
    <w:rsid w:val="00AA4361"/>
    <w:pPr>
      <w:spacing w:before="100" w:beforeAutospacing="1" w:after="100" w:afterAutospacing="1"/>
    </w:pPr>
    <w:rPr>
      <w:lang w:val="uk-UA" w:eastAsia="uk-UA"/>
    </w:rPr>
  </w:style>
  <w:style w:type="paragraph" w:customStyle="1" w:styleId="4">
    <w:name w:val="заголовок 4"/>
    <w:basedOn w:val="a"/>
    <w:next w:val="a"/>
    <w:uiPriority w:val="99"/>
    <w:rsid w:val="00AA4361"/>
    <w:pPr>
      <w:keepNext/>
      <w:autoSpaceDE w:val="0"/>
      <w:autoSpaceDN w:val="0"/>
      <w:ind w:firstLine="1701"/>
      <w:jc w:val="both"/>
    </w:pPr>
    <w:rPr>
      <w:rFonts w:ascii="Bookman Old Style" w:hAnsi="Bookman Old Style"/>
      <w:sz w:val="27"/>
      <w:szCs w:val="27"/>
    </w:rPr>
  </w:style>
  <w:style w:type="character" w:styleId="a3">
    <w:name w:val="Strong"/>
    <w:basedOn w:val="a0"/>
    <w:uiPriority w:val="99"/>
    <w:qFormat/>
    <w:rsid w:val="00AA4361"/>
    <w:rPr>
      <w:rFonts w:cs="Times New Roman"/>
      <w:b/>
    </w:rPr>
  </w:style>
  <w:style w:type="paragraph" w:styleId="a4">
    <w:name w:val="Normal (Web)"/>
    <w:aliases w:val="Обычный (Web)"/>
    <w:basedOn w:val="a"/>
    <w:uiPriority w:val="99"/>
    <w:unhideWhenUsed/>
    <w:qFormat/>
    <w:rsid w:val="00AA4361"/>
    <w:pPr>
      <w:spacing w:before="100" w:beforeAutospacing="1" w:after="100" w:afterAutospacing="1"/>
    </w:pPr>
    <w:rPr>
      <w:lang w:val="uk-UA" w:eastAsia="uk-UA"/>
    </w:rPr>
  </w:style>
  <w:style w:type="paragraph" w:styleId="a5">
    <w:name w:val="Balloon Text"/>
    <w:basedOn w:val="a"/>
    <w:link w:val="a6"/>
    <w:unhideWhenUsed/>
    <w:rsid w:val="00AA4361"/>
    <w:rPr>
      <w:rFonts w:ascii="Tahoma" w:hAnsi="Tahoma" w:cs="Tahoma"/>
      <w:sz w:val="16"/>
      <w:szCs w:val="16"/>
    </w:rPr>
  </w:style>
  <w:style w:type="character" w:customStyle="1" w:styleId="a6">
    <w:name w:val="Текст выноски Знак"/>
    <w:basedOn w:val="a0"/>
    <w:link w:val="a5"/>
    <w:rsid w:val="00AA4361"/>
    <w:rPr>
      <w:rFonts w:ascii="Tahoma" w:eastAsia="Times New Roman" w:hAnsi="Tahoma" w:cs="Tahoma"/>
      <w:sz w:val="16"/>
      <w:szCs w:val="16"/>
      <w:lang w:val="ru-RU" w:eastAsia="ru-RU"/>
    </w:rPr>
  </w:style>
  <w:style w:type="paragraph" w:customStyle="1" w:styleId="a7">
    <w:name w:val="Нормальный"/>
    <w:rsid w:val="00AA4361"/>
    <w:pPr>
      <w:autoSpaceDE w:val="0"/>
      <w:autoSpaceDN w:val="0"/>
      <w:spacing w:after="0" w:line="240" w:lineRule="auto"/>
    </w:pPr>
    <w:rPr>
      <w:rFonts w:ascii="UkrainianPeterburg" w:eastAsia="Times New Roman" w:hAnsi="UkrainianPeterburg" w:cs="Times New Roman"/>
      <w:sz w:val="28"/>
      <w:szCs w:val="28"/>
      <w:lang w:eastAsia="ru-RU"/>
    </w:rPr>
  </w:style>
  <w:style w:type="paragraph" w:styleId="a8">
    <w:name w:val="List Paragraph"/>
    <w:basedOn w:val="a"/>
    <w:uiPriority w:val="34"/>
    <w:qFormat/>
    <w:rsid w:val="00AA4361"/>
    <w:pPr>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NoSpacing1">
    <w:name w:val="No Spacing1"/>
    <w:rsid w:val="00AA4361"/>
    <w:pPr>
      <w:spacing w:after="0" w:line="240" w:lineRule="auto"/>
    </w:pPr>
    <w:rPr>
      <w:rFonts w:ascii="Calibri" w:eastAsia="Calibri" w:hAnsi="Calibri" w:cs="Times New Roman"/>
      <w:lang w:val="ru-RU"/>
    </w:rPr>
  </w:style>
  <w:style w:type="paragraph" w:customStyle="1" w:styleId="1">
    <w:name w:val="1"/>
    <w:basedOn w:val="a"/>
    <w:rsid w:val="00AA4361"/>
    <w:pPr>
      <w:spacing w:before="100" w:beforeAutospacing="1" w:after="100" w:afterAutospacing="1"/>
    </w:pPr>
    <w:rPr>
      <w:lang w:val="uk-UA" w:eastAsia="uk-UA"/>
    </w:rPr>
  </w:style>
  <w:style w:type="character" w:customStyle="1" w:styleId="10">
    <w:name w:val="Заголовок №1_"/>
    <w:basedOn w:val="a0"/>
    <w:link w:val="11"/>
    <w:uiPriority w:val="99"/>
    <w:locked/>
    <w:rsid w:val="00AA4361"/>
    <w:rPr>
      <w:rFonts w:ascii="Times New Roman" w:hAnsi="Times New Roman"/>
      <w:b/>
      <w:bCs/>
      <w:sz w:val="26"/>
      <w:szCs w:val="26"/>
      <w:shd w:val="clear" w:color="auto" w:fill="FFFFFF"/>
    </w:rPr>
  </w:style>
  <w:style w:type="paragraph" w:customStyle="1" w:styleId="11">
    <w:name w:val="Заголовок №1"/>
    <w:basedOn w:val="a"/>
    <w:link w:val="10"/>
    <w:uiPriority w:val="99"/>
    <w:rsid w:val="00AA4361"/>
    <w:pPr>
      <w:widowControl w:val="0"/>
      <w:shd w:val="clear" w:color="auto" w:fill="FFFFFF"/>
      <w:spacing w:line="319" w:lineRule="exact"/>
      <w:jc w:val="center"/>
      <w:outlineLvl w:val="0"/>
    </w:pPr>
    <w:rPr>
      <w:rFonts w:eastAsiaTheme="minorHAnsi" w:cstheme="minorBidi"/>
      <w:b/>
      <w:bCs/>
      <w:sz w:val="26"/>
      <w:szCs w:val="26"/>
      <w:lang w:val="uk-UA" w:eastAsia="en-US"/>
    </w:rPr>
  </w:style>
  <w:style w:type="paragraph" w:customStyle="1" w:styleId="a9">
    <w:name w:val="Нормальний текст"/>
    <w:basedOn w:val="a"/>
    <w:rsid w:val="00AA4361"/>
    <w:pPr>
      <w:spacing w:before="120"/>
      <w:ind w:firstLine="567"/>
    </w:pPr>
    <w:rPr>
      <w:rFonts w:ascii="Antiqua" w:hAnsi="Antiqua"/>
      <w:sz w:val="26"/>
      <w:szCs w:val="20"/>
      <w:lang w:val="uk-UA"/>
    </w:rPr>
  </w:style>
  <w:style w:type="paragraph" w:customStyle="1" w:styleId="aa">
    <w:name w:val="Абзац списку"/>
    <w:basedOn w:val="a"/>
    <w:qFormat/>
    <w:rsid w:val="00AA4361"/>
    <w:pPr>
      <w:spacing w:before="120" w:after="120"/>
      <w:ind w:left="720" w:firstLine="709"/>
      <w:contextualSpacing/>
      <w:jc w:val="both"/>
    </w:pPr>
    <w:rPr>
      <w:rFonts w:eastAsia="Calibri"/>
      <w:lang w:val="uk-UA"/>
    </w:rPr>
  </w:style>
  <w:style w:type="paragraph" w:styleId="ab">
    <w:name w:val="Title"/>
    <w:basedOn w:val="a"/>
    <w:link w:val="ac"/>
    <w:qFormat/>
    <w:rsid w:val="00AA4361"/>
    <w:pPr>
      <w:jc w:val="center"/>
    </w:pPr>
  </w:style>
  <w:style w:type="character" w:customStyle="1" w:styleId="ac">
    <w:name w:val="Название Знак"/>
    <w:basedOn w:val="a0"/>
    <w:link w:val="ab"/>
    <w:rsid w:val="00AA4361"/>
    <w:rPr>
      <w:rFonts w:ascii="Times New Roman" w:eastAsia="Times New Roman" w:hAnsi="Times New Roman" w:cs="Times New Roman"/>
      <w:sz w:val="24"/>
      <w:szCs w:val="24"/>
      <w:lang w:val="ru-RU" w:eastAsia="ru-RU"/>
    </w:rPr>
  </w:style>
  <w:style w:type="character" w:customStyle="1" w:styleId="HTML">
    <w:name w:val="Стандартный HTML Знак"/>
    <w:link w:val="HTML0"/>
    <w:uiPriority w:val="99"/>
    <w:locked/>
    <w:rsid w:val="00AA4361"/>
    <w:rPr>
      <w:rFonts w:ascii="Courier New" w:eastAsia="Calibri" w:hAnsi="Courier New" w:cs="Courier New"/>
      <w:lang w:eastAsia="uk-UA"/>
    </w:rPr>
  </w:style>
  <w:style w:type="paragraph" w:styleId="HTML0">
    <w:name w:val="HTML Preformatted"/>
    <w:basedOn w:val="a"/>
    <w:link w:val="HTML"/>
    <w:uiPriority w:val="99"/>
    <w:rsid w:val="00AA4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2"/>
      <w:szCs w:val="22"/>
      <w:lang w:val="uk-UA" w:eastAsia="uk-UA"/>
    </w:rPr>
  </w:style>
  <w:style w:type="character" w:customStyle="1" w:styleId="HTML1">
    <w:name w:val="Стандартный HTML Знак1"/>
    <w:basedOn w:val="a0"/>
    <w:link w:val="HTML0"/>
    <w:uiPriority w:val="99"/>
    <w:semiHidden/>
    <w:rsid w:val="00AA4361"/>
    <w:rPr>
      <w:rFonts w:ascii="Consolas" w:eastAsia="Times New Roman" w:hAnsi="Consolas" w:cs="Consolas"/>
      <w:sz w:val="20"/>
      <w:szCs w:val="20"/>
      <w:lang w:val="ru-RU" w:eastAsia="ru-RU"/>
    </w:rPr>
  </w:style>
  <w:style w:type="character" w:customStyle="1" w:styleId="3">
    <w:name w:val="Основной текст (3)_"/>
    <w:basedOn w:val="a0"/>
    <w:link w:val="30"/>
    <w:rsid w:val="00AA4361"/>
    <w:rPr>
      <w:rFonts w:ascii="Times New Roman" w:eastAsia="Times New Roman" w:hAnsi="Times New Roman" w:cs="Times New Roman"/>
      <w:b/>
      <w:bCs/>
      <w:sz w:val="28"/>
      <w:szCs w:val="28"/>
      <w:shd w:val="clear" w:color="auto" w:fill="FFFFFF"/>
    </w:rPr>
  </w:style>
  <w:style w:type="character" w:customStyle="1" w:styleId="2">
    <w:name w:val="Основной текст (2)_"/>
    <w:basedOn w:val="a0"/>
    <w:link w:val="20"/>
    <w:rsid w:val="00AA4361"/>
    <w:rPr>
      <w:rFonts w:ascii="Times New Roman" w:eastAsia="Times New Roman" w:hAnsi="Times New Roman" w:cs="Times New Roman"/>
      <w:sz w:val="28"/>
      <w:szCs w:val="28"/>
      <w:shd w:val="clear" w:color="auto" w:fill="FFFFFF"/>
    </w:rPr>
  </w:style>
  <w:style w:type="character" w:customStyle="1" w:styleId="22pt">
    <w:name w:val="Основной текст (2) + Интервал 2 pt"/>
    <w:basedOn w:val="2"/>
    <w:rsid w:val="00AA4361"/>
    <w:rPr>
      <w:color w:val="000000"/>
      <w:spacing w:val="40"/>
      <w:w w:val="100"/>
      <w:position w:val="0"/>
      <w:lang w:val="uk-UA" w:eastAsia="uk-UA" w:bidi="uk-UA"/>
    </w:rPr>
  </w:style>
  <w:style w:type="paragraph" w:customStyle="1" w:styleId="30">
    <w:name w:val="Основной текст (3)"/>
    <w:basedOn w:val="a"/>
    <w:link w:val="3"/>
    <w:rsid w:val="00AA4361"/>
    <w:pPr>
      <w:widowControl w:val="0"/>
      <w:shd w:val="clear" w:color="auto" w:fill="FFFFFF"/>
      <w:spacing w:line="322" w:lineRule="exact"/>
      <w:jc w:val="center"/>
    </w:pPr>
    <w:rPr>
      <w:b/>
      <w:bCs/>
      <w:sz w:val="28"/>
      <w:szCs w:val="28"/>
      <w:lang w:val="uk-UA" w:eastAsia="en-US"/>
    </w:rPr>
  </w:style>
  <w:style w:type="paragraph" w:customStyle="1" w:styleId="20">
    <w:name w:val="Основной текст (2)"/>
    <w:basedOn w:val="a"/>
    <w:link w:val="2"/>
    <w:rsid w:val="00AA4361"/>
    <w:pPr>
      <w:widowControl w:val="0"/>
      <w:shd w:val="clear" w:color="auto" w:fill="FFFFFF"/>
      <w:spacing w:before="60" w:after="300" w:line="0" w:lineRule="atLeast"/>
    </w:pPr>
    <w:rPr>
      <w:sz w:val="28"/>
      <w:szCs w:val="28"/>
      <w:lang w:val="uk-UA" w:eastAsia="en-US"/>
    </w:rPr>
  </w:style>
  <w:style w:type="paragraph" w:styleId="ad">
    <w:name w:val="No Spacing"/>
    <w:uiPriority w:val="99"/>
    <w:qFormat/>
    <w:rsid w:val="00AA4361"/>
    <w:pPr>
      <w:spacing w:after="0" w:line="240" w:lineRule="auto"/>
    </w:pPr>
    <w:rPr>
      <w:rFonts w:ascii="Calibri" w:eastAsia="Calibri" w:hAnsi="Calibri" w:cs="Times New Roman"/>
      <w:lang w:eastAsia="uk-UA"/>
    </w:rPr>
  </w:style>
  <w:style w:type="character" w:customStyle="1" w:styleId="21">
    <w:name w:val="Заголовок №2_"/>
    <w:basedOn w:val="a0"/>
    <w:link w:val="22"/>
    <w:rsid w:val="00AA4361"/>
    <w:rPr>
      <w:rFonts w:ascii="Times New Roman" w:eastAsia="Times New Roman" w:hAnsi="Times New Roman" w:cs="Times New Roman"/>
      <w:b/>
      <w:bCs/>
      <w:sz w:val="28"/>
      <w:szCs w:val="28"/>
      <w:shd w:val="clear" w:color="auto" w:fill="FFFFFF"/>
    </w:rPr>
  </w:style>
  <w:style w:type="character" w:customStyle="1" w:styleId="40">
    <w:name w:val="Основной текст (4)_"/>
    <w:basedOn w:val="a0"/>
    <w:link w:val="41"/>
    <w:rsid w:val="00AA4361"/>
    <w:rPr>
      <w:rFonts w:ascii="Consolas" w:eastAsia="Consolas" w:hAnsi="Consolas" w:cs="Consolas"/>
      <w:sz w:val="8"/>
      <w:szCs w:val="8"/>
      <w:shd w:val="clear" w:color="auto" w:fill="FFFFFF"/>
    </w:rPr>
  </w:style>
  <w:style w:type="character" w:customStyle="1" w:styleId="23">
    <w:name w:val="Заголовок №2 + Не полужирный"/>
    <w:basedOn w:val="21"/>
    <w:rsid w:val="00AA4361"/>
    <w:rPr>
      <w:color w:val="000000"/>
      <w:spacing w:val="0"/>
      <w:w w:val="100"/>
      <w:position w:val="0"/>
      <w:lang w:val="uk-UA" w:eastAsia="uk-UA" w:bidi="uk-UA"/>
    </w:rPr>
  </w:style>
  <w:style w:type="character" w:customStyle="1" w:styleId="24">
    <w:name w:val="Основной текст (2) + Полужирный"/>
    <w:basedOn w:val="2"/>
    <w:rsid w:val="00AA4361"/>
    <w:rPr>
      <w:b/>
      <w:bCs/>
      <w:i w:val="0"/>
      <w:iCs w:val="0"/>
      <w:smallCaps w:val="0"/>
      <w:strike w:val="0"/>
      <w:color w:val="000000"/>
      <w:spacing w:val="0"/>
      <w:w w:val="100"/>
      <w:position w:val="0"/>
      <w:u w:val="none"/>
      <w:lang w:val="uk-UA" w:eastAsia="uk-UA" w:bidi="uk-UA"/>
    </w:rPr>
  </w:style>
  <w:style w:type="paragraph" w:customStyle="1" w:styleId="22">
    <w:name w:val="Заголовок №2"/>
    <w:basedOn w:val="a"/>
    <w:link w:val="21"/>
    <w:rsid w:val="00AA4361"/>
    <w:pPr>
      <w:widowControl w:val="0"/>
      <w:shd w:val="clear" w:color="auto" w:fill="FFFFFF"/>
      <w:spacing w:before="540" w:after="60" w:line="0" w:lineRule="atLeast"/>
      <w:outlineLvl w:val="1"/>
    </w:pPr>
    <w:rPr>
      <w:b/>
      <w:bCs/>
      <w:sz w:val="28"/>
      <w:szCs w:val="28"/>
      <w:lang w:val="uk-UA" w:eastAsia="en-US"/>
    </w:rPr>
  </w:style>
  <w:style w:type="paragraph" w:customStyle="1" w:styleId="41">
    <w:name w:val="Основной текст (4)"/>
    <w:basedOn w:val="a"/>
    <w:link w:val="40"/>
    <w:rsid w:val="00AA4361"/>
    <w:pPr>
      <w:widowControl w:val="0"/>
      <w:shd w:val="clear" w:color="auto" w:fill="FFFFFF"/>
      <w:spacing w:before="60" w:line="0" w:lineRule="atLeast"/>
    </w:pPr>
    <w:rPr>
      <w:rFonts w:ascii="Consolas" w:eastAsia="Consolas" w:hAnsi="Consolas" w:cs="Consolas"/>
      <w:sz w:val="8"/>
      <w:szCs w:val="8"/>
      <w:lang w:val="uk-UA" w:eastAsia="en-US"/>
    </w:rPr>
  </w:style>
  <w:style w:type="character" w:customStyle="1" w:styleId="2TrebuchetMS95pt">
    <w:name w:val="Основной текст (2) + Trebuchet MS;9;5 pt;Курсив"/>
    <w:basedOn w:val="2"/>
    <w:rsid w:val="00AA4361"/>
    <w:rPr>
      <w:rFonts w:ascii="Trebuchet MS" w:eastAsia="Trebuchet MS" w:hAnsi="Trebuchet MS" w:cs="Trebuchet MS"/>
      <w:b w:val="0"/>
      <w:bCs w:val="0"/>
      <w:i/>
      <w:iCs/>
      <w:smallCaps w:val="0"/>
      <w:strike w:val="0"/>
      <w:color w:val="000000"/>
      <w:spacing w:val="0"/>
      <w:w w:val="100"/>
      <w:position w:val="0"/>
      <w:sz w:val="19"/>
      <w:szCs w:val="19"/>
      <w:u w:val="none"/>
      <w:lang w:val="uk-UA" w:eastAsia="uk-UA" w:bidi="uk-UA"/>
    </w:rPr>
  </w:style>
  <w:style w:type="table" w:styleId="ae">
    <w:name w:val="Table Grid"/>
    <w:basedOn w:val="a1"/>
    <w:uiPriority w:val="39"/>
    <w:rsid w:val="00AA436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semiHidden/>
    <w:rsid w:val="00AA4361"/>
    <w:pPr>
      <w:spacing w:after="120"/>
      <w:ind w:left="283"/>
    </w:pPr>
    <w:rPr>
      <w:rFonts w:eastAsia="Calibri"/>
    </w:rPr>
  </w:style>
  <w:style w:type="character" w:customStyle="1" w:styleId="af0">
    <w:name w:val="Основной текст с отступом Знак"/>
    <w:basedOn w:val="a0"/>
    <w:link w:val="af"/>
    <w:semiHidden/>
    <w:rsid w:val="00AA4361"/>
    <w:rPr>
      <w:rFonts w:ascii="Times New Roman" w:eastAsia="Calibri" w:hAnsi="Times New Roman" w:cs="Times New Roman"/>
      <w:sz w:val="24"/>
      <w:szCs w:val="24"/>
      <w:lang w:val="ru-RU" w:eastAsia="ru-RU"/>
    </w:rPr>
  </w:style>
  <w:style w:type="paragraph" w:customStyle="1" w:styleId="rvps1">
    <w:name w:val="rvps1"/>
    <w:basedOn w:val="a"/>
    <w:rsid w:val="00AA4361"/>
    <w:pPr>
      <w:spacing w:before="100" w:beforeAutospacing="1" w:after="100" w:afterAutospacing="1"/>
    </w:pPr>
    <w:rPr>
      <w:rFonts w:eastAsia="Calibri"/>
      <w:lang w:val="uk-UA" w:eastAsia="uk-UA"/>
    </w:rPr>
  </w:style>
  <w:style w:type="character" w:customStyle="1" w:styleId="rvts9">
    <w:name w:val="rvts9"/>
    <w:rsid w:val="00AA4361"/>
  </w:style>
  <w:style w:type="paragraph" w:customStyle="1" w:styleId="12">
    <w:name w:val="Абзац списка1"/>
    <w:basedOn w:val="a"/>
    <w:rsid w:val="00AA4361"/>
    <w:pPr>
      <w:spacing w:after="160" w:line="259" w:lineRule="auto"/>
      <w:ind w:left="720"/>
      <w:contextualSpacing/>
    </w:pPr>
    <w:rPr>
      <w:rFonts w:ascii="Calibri" w:hAnsi="Calibri"/>
      <w:sz w:val="22"/>
      <w:szCs w:val="22"/>
      <w:lang w:eastAsia="en-US"/>
    </w:rPr>
  </w:style>
  <w:style w:type="paragraph" w:styleId="af1">
    <w:name w:val="header"/>
    <w:basedOn w:val="a"/>
    <w:link w:val="af2"/>
    <w:rsid w:val="00AA4361"/>
    <w:pPr>
      <w:tabs>
        <w:tab w:val="center" w:pos="4819"/>
        <w:tab w:val="right" w:pos="9639"/>
      </w:tabs>
    </w:pPr>
    <w:rPr>
      <w:rFonts w:eastAsia="Calibri"/>
      <w:sz w:val="20"/>
      <w:szCs w:val="20"/>
    </w:rPr>
  </w:style>
  <w:style w:type="character" w:customStyle="1" w:styleId="af2">
    <w:name w:val="Верхний колонтитул Знак"/>
    <w:basedOn w:val="a0"/>
    <w:link w:val="af1"/>
    <w:rsid w:val="00AA4361"/>
    <w:rPr>
      <w:rFonts w:ascii="Times New Roman" w:eastAsia="Calibri" w:hAnsi="Times New Roman" w:cs="Times New Roman"/>
      <w:sz w:val="20"/>
      <w:szCs w:val="20"/>
      <w:lang w:val="ru-RU" w:eastAsia="ru-RU"/>
    </w:rPr>
  </w:style>
  <w:style w:type="paragraph" w:customStyle="1" w:styleId="31">
    <w:name w:val="Основний текст (3)"/>
    <w:basedOn w:val="a"/>
    <w:rsid w:val="00AA4361"/>
    <w:pPr>
      <w:shd w:val="clear" w:color="000000" w:fill="FFFFFF"/>
      <w:spacing w:line="302" w:lineRule="exact"/>
      <w:jc w:val="center"/>
    </w:pPr>
    <w:rPr>
      <w:rFonts w:eastAsia="Calibri"/>
      <w:color w:val="000000"/>
      <w:spacing w:val="3"/>
    </w:rPr>
  </w:style>
  <w:style w:type="character" w:customStyle="1" w:styleId="HTMLPreformattedChar1">
    <w:name w:val="HTML Preformatted Char1"/>
    <w:basedOn w:val="a0"/>
    <w:uiPriority w:val="99"/>
    <w:semiHidden/>
    <w:rsid w:val="00AA4361"/>
    <w:rPr>
      <w:rFonts w:ascii="Consolas" w:eastAsia="Times New Roman" w:hAnsi="Consolas" w:cs="Times New Roman"/>
      <w:sz w:val="20"/>
      <w:szCs w:val="20"/>
      <w:lang w:val="uk-UA" w:eastAsia="uk-UA"/>
    </w:rPr>
  </w:style>
  <w:style w:type="character" w:customStyle="1" w:styleId="32">
    <w:name w:val="Заголовок №3_"/>
    <w:link w:val="33"/>
    <w:locked/>
    <w:rsid w:val="00AA4361"/>
    <w:rPr>
      <w:b/>
      <w:sz w:val="28"/>
      <w:shd w:val="clear" w:color="auto" w:fill="FFFFFF"/>
    </w:rPr>
  </w:style>
  <w:style w:type="paragraph" w:customStyle="1" w:styleId="33">
    <w:name w:val="Заголовок №3"/>
    <w:basedOn w:val="a"/>
    <w:link w:val="32"/>
    <w:rsid w:val="00AA4361"/>
    <w:pPr>
      <w:widowControl w:val="0"/>
      <w:shd w:val="clear" w:color="auto" w:fill="FFFFFF"/>
      <w:spacing w:line="240" w:lineRule="atLeast"/>
      <w:outlineLvl w:val="2"/>
    </w:pPr>
    <w:rPr>
      <w:rFonts w:asciiTheme="minorHAnsi" w:eastAsiaTheme="minorHAnsi" w:hAnsiTheme="minorHAnsi" w:cstheme="minorBidi"/>
      <w:b/>
      <w:sz w:val="28"/>
      <w:szCs w:val="22"/>
      <w:lang w:val="uk-UA" w:eastAsia="en-US"/>
    </w:rPr>
  </w:style>
  <w:style w:type="character" w:styleId="af3">
    <w:name w:val="Hyperlink"/>
    <w:basedOn w:val="a0"/>
    <w:uiPriority w:val="99"/>
    <w:semiHidden/>
    <w:unhideWhenUsed/>
    <w:rsid w:val="00AA4361"/>
    <w:rPr>
      <w:color w:val="0000FF"/>
      <w:u w:val="single"/>
    </w:rPr>
  </w:style>
  <w:style w:type="character" w:customStyle="1" w:styleId="rvts23">
    <w:name w:val="rvts23"/>
    <w:basedOn w:val="a0"/>
    <w:rsid w:val="00AA4361"/>
  </w:style>
  <w:style w:type="character" w:customStyle="1" w:styleId="rvts15">
    <w:name w:val="rvts15"/>
    <w:basedOn w:val="a0"/>
    <w:rsid w:val="00AA4361"/>
  </w:style>
  <w:style w:type="character" w:customStyle="1" w:styleId="apple-converted-space">
    <w:name w:val="apple-converted-space"/>
    <w:basedOn w:val="a0"/>
    <w:rsid w:val="00AA4361"/>
  </w:style>
  <w:style w:type="numbering" w:customStyle="1" w:styleId="13">
    <w:name w:val="Нет списка1"/>
    <w:next w:val="a2"/>
    <w:uiPriority w:val="99"/>
    <w:semiHidden/>
    <w:unhideWhenUsed/>
    <w:rsid w:val="00AA4361"/>
  </w:style>
  <w:style w:type="paragraph" w:customStyle="1" w:styleId="rvps6">
    <w:name w:val="rvps6"/>
    <w:basedOn w:val="a"/>
    <w:rsid w:val="00AA4361"/>
    <w:pPr>
      <w:spacing w:before="100" w:beforeAutospacing="1" w:after="100" w:afterAutospacing="1"/>
    </w:pPr>
    <w:rPr>
      <w:lang w:val="uk-UA" w:eastAsia="uk-UA"/>
    </w:rPr>
  </w:style>
  <w:style w:type="paragraph" w:customStyle="1" w:styleId="rvps12">
    <w:name w:val="rvps12"/>
    <w:basedOn w:val="a"/>
    <w:rsid w:val="00AA4361"/>
    <w:pPr>
      <w:spacing w:before="100" w:beforeAutospacing="1" w:after="100" w:afterAutospacing="1"/>
    </w:pPr>
    <w:rPr>
      <w:lang w:val="uk-UA" w:eastAsia="uk-UA"/>
    </w:rPr>
  </w:style>
  <w:style w:type="paragraph" w:customStyle="1" w:styleId="rvps14">
    <w:name w:val="rvps14"/>
    <w:basedOn w:val="a"/>
    <w:rsid w:val="00AA4361"/>
    <w:pPr>
      <w:spacing w:before="100" w:beforeAutospacing="1" w:after="100" w:afterAutospacing="1"/>
    </w:pPr>
    <w:rPr>
      <w:lang w:val="uk-UA" w:eastAsia="uk-UA"/>
    </w:rPr>
  </w:style>
  <w:style w:type="paragraph" w:customStyle="1" w:styleId="rvps2">
    <w:name w:val="rvps2"/>
    <w:basedOn w:val="a"/>
    <w:rsid w:val="00AA4361"/>
    <w:pPr>
      <w:spacing w:before="100" w:beforeAutospacing="1" w:after="100" w:afterAutospacing="1"/>
    </w:pPr>
    <w:rPr>
      <w:lang w:val="uk-UA" w:eastAsia="uk-UA"/>
    </w:rPr>
  </w:style>
  <w:style w:type="character" w:customStyle="1" w:styleId="rvts46">
    <w:name w:val="rvts46"/>
    <w:basedOn w:val="a0"/>
    <w:rsid w:val="00AA4361"/>
  </w:style>
  <w:style w:type="table" w:customStyle="1" w:styleId="14">
    <w:name w:val="Сетка таблицы1"/>
    <w:basedOn w:val="a1"/>
    <w:next w:val="ae"/>
    <w:rsid w:val="00AA436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basedOn w:val="a0"/>
    <w:rsid w:val="00AA4361"/>
  </w:style>
  <w:style w:type="paragraph" w:customStyle="1" w:styleId="rvps17">
    <w:name w:val="rvps17"/>
    <w:basedOn w:val="a"/>
    <w:rsid w:val="00AA4361"/>
    <w:pPr>
      <w:spacing w:before="100" w:beforeAutospacing="1" w:after="100" w:afterAutospacing="1"/>
    </w:pPr>
  </w:style>
  <w:style w:type="character" w:customStyle="1" w:styleId="CharStyle5">
    <w:name w:val="CharStyle5"/>
    <w:rsid w:val="00AA4361"/>
    <w:rPr>
      <w:rFonts w:ascii="Times New Roman" w:hAnsi="Times New Roman"/>
      <w:b/>
      <w:color w:val="000000"/>
      <w:spacing w:val="0"/>
      <w:w w:val="100"/>
      <w:position w:val="0"/>
      <w:sz w:val="17"/>
      <w:u w:val="none"/>
      <w:vertAlign w:val="baseline"/>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26"/>
  <c:chart>
    <c:autoTitleDeleted val="1"/>
    <c:view3D>
      <c:rotX val="30"/>
      <c:perspective val="30"/>
    </c:view3D>
    <c:plotArea>
      <c:layout>
        <c:manualLayout>
          <c:layoutTarget val="inner"/>
          <c:xMode val="edge"/>
          <c:yMode val="edge"/>
          <c:x val="1.0363808690580834E-2"/>
          <c:y val="6.9444444444446609E-3"/>
          <c:w val="0.71453977107028288"/>
          <c:h val="0.99305555555555569"/>
        </c:manualLayout>
      </c:layout>
      <c:pie3DChart>
        <c:varyColors val="1"/>
        <c:ser>
          <c:idx val="0"/>
          <c:order val="0"/>
          <c:tx>
            <c:strRef>
              <c:f>Лист1!$B$1</c:f>
              <c:strCache>
                <c:ptCount val="1"/>
                <c:pt idx="0">
                  <c:v>Продажи</c:v>
                </c:pt>
              </c:strCache>
            </c:strRef>
          </c:tx>
          <c:dLbls>
            <c:dLbl>
              <c:idx val="0"/>
              <c:layout>
                <c:manualLayout>
                  <c:x val="0.11385134149898028"/>
                  <c:y val="-1.0769591301087825E-2"/>
                </c:manualLayout>
              </c:layout>
              <c:dLblPos val="bestFit"/>
              <c:showVal val="1"/>
              <c:showCatName val="1"/>
            </c:dLbl>
            <c:dLbl>
              <c:idx val="1"/>
              <c:layout>
                <c:manualLayout>
                  <c:x val="4.2480679498397032E-2"/>
                  <c:y val="6.3183352080989866E-2"/>
                </c:manualLayout>
              </c:layout>
              <c:dLblPos val="bestFit"/>
              <c:showVal val="1"/>
              <c:showCatName val="1"/>
            </c:dLbl>
            <c:dLbl>
              <c:idx val="2"/>
              <c:layout>
                <c:manualLayout>
                  <c:x val="0.15468157626130066"/>
                  <c:y val="-0.34293275840519516"/>
                </c:manualLayout>
              </c:layout>
              <c:dLblPos val="bestFit"/>
              <c:showVal val="1"/>
              <c:showCatName val="1"/>
            </c:dLbl>
            <c:spPr>
              <a:noFill/>
              <a:ln w="25430">
                <a:noFill/>
              </a:ln>
            </c:spPr>
            <c:txPr>
              <a:bodyPr/>
              <a:lstStyle/>
              <a:p>
                <a:pPr>
                  <a:defRPr lang="ru-RU" sz="1402" b="1">
                    <a:latin typeface="Times New Roman" pitchFamily="18" charset="0"/>
                    <a:cs typeface="Times New Roman" pitchFamily="18" charset="0"/>
                  </a:defRPr>
                </a:pPr>
                <a:endParaRPr lang="uk-UA"/>
              </a:p>
            </c:txPr>
            <c:showVal val="1"/>
            <c:showCatName val="1"/>
            <c:showLeaderLines val="1"/>
          </c:dLbls>
          <c:cat>
            <c:strRef>
              <c:f>Лист1!$A$2:$A$4</c:f>
              <c:strCache>
                <c:ptCount val="3"/>
                <c:pt idx="0">
                  <c:v>Податкові надходження</c:v>
                </c:pt>
                <c:pt idx="1">
                  <c:v>Неподаткові надходження</c:v>
                </c:pt>
                <c:pt idx="2">
                  <c:v>Офіційні трансферти</c:v>
                </c:pt>
              </c:strCache>
            </c:strRef>
          </c:cat>
          <c:val>
            <c:numRef>
              <c:f>Лист1!$B$2:$B$4</c:f>
              <c:numCache>
                <c:formatCode>General</c:formatCode>
                <c:ptCount val="3"/>
                <c:pt idx="0">
                  <c:v>16998.5</c:v>
                </c:pt>
                <c:pt idx="1">
                  <c:v>410.6</c:v>
                </c:pt>
                <c:pt idx="2">
                  <c:v>37551.699999999997</c:v>
                </c:pt>
              </c:numCache>
            </c:numRef>
          </c:val>
        </c:ser>
      </c:pie3DChart>
      <c:spPr>
        <a:noFill/>
        <a:ln w="25430">
          <a:noFill/>
        </a:ln>
      </c:spPr>
    </c:plotArea>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uk-UA"/>
  <c:style val="27"/>
  <c:chart>
    <c:plotArea>
      <c:layout>
        <c:manualLayout>
          <c:layoutTarget val="inner"/>
          <c:xMode val="edge"/>
          <c:yMode val="edge"/>
          <c:x val="0.11073343396178241"/>
          <c:y val="3.0590575988965491E-2"/>
          <c:w val="0.85838751551404913"/>
          <c:h val="0.67322876865592873"/>
        </c:manualLayout>
      </c:layout>
      <c:barChart>
        <c:barDir val="col"/>
        <c:grouping val="clustered"/>
        <c:ser>
          <c:idx val="0"/>
          <c:order val="0"/>
          <c:tx>
            <c:strRef>
              <c:f>Лист1!$B$1</c:f>
              <c:strCache>
                <c:ptCount val="1"/>
                <c:pt idx="0">
                  <c:v>І квартал 2023</c:v>
                </c:pt>
              </c:strCache>
            </c:strRef>
          </c:tx>
          <c:cat>
            <c:strRef>
              <c:f>Лист1!$A$2:$A$6</c:f>
              <c:strCache>
                <c:ptCount val="5"/>
                <c:pt idx="0">
                  <c:v>Податки на доходи</c:v>
                </c:pt>
                <c:pt idx="1">
                  <c:v>Рентна плата</c:v>
                </c:pt>
                <c:pt idx="2">
                  <c:v>Акцизний податок</c:v>
                </c:pt>
                <c:pt idx="3">
                  <c:v>Місцеві податки та збори</c:v>
                </c:pt>
                <c:pt idx="4">
                  <c:v>Неподаткові надходження</c:v>
                </c:pt>
              </c:strCache>
            </c:strRef>
          </c:cat>
          <c:val>
            <c:numRef>
              <c:f>Лист1!$B$2:$B$6</c:f>
              <c:numCache>
                <c:formatCode>General</c:formatCode>
                <c:ptCount val="5"/>
                <c:pt idx="0" formatCode="0.0">
                  <c:v>12352.6</c:v>
                </c:pt>
                <c:pt idx="1">
                  <c:v>390.4</c:v>
                </c:pt>
                <c:pt idx="2" formatCode="0.0">
                  <c:v>910.4</c:v>
                </c:pt>
                <c:pt idx="3">
                  <c:v>3345.1</c:v>
                </c:pt>
                <c:pt idx="4">
                  <c:v>410.6</c:v>
                </c:pt>
              </c:numCache>
            </c:numRef>
          </c:val>
        </c:ser>
        <c:ser>
          <c:idx val="1"/>
          <c:order val="1"/>
          <c:tx>
            <c:strRef>
              <c:f>Лист1!$C$1</c:f>
              <c:strCache>
                <c:ptCount val="1"/>
                <c:pt idx="0">
                  <c:v>І квартал 2022</c:v>
                </c:pt>
              </c:strCache>
            </c:strRef>
          </c:tx>
          <c:cat>
            <c:strRef>
              <c:f>Лист1!$A$2:$A$6</c:f>
              <c:strCache>
                <c:ptCount val="5"/>
                <c:pt idx="0">
                  <c:v>Податки на доходи</c:v>
                </c:pt>
                <c:pt idx="1">
                  <c:v>Рентна плата</c:v>
                </c:pt>
                <c:pt idx="2">
                  <c:v>Акцизний податок</c:v>
                </c:pt>
                <c:pt idx="3">
                  <c:v>Місцеві податки та збори</c:v>
                </c:pt>
                <c:pt idx="4">
                  <c:v>Неподаткові надходження</c:v>
                </c:pt>
              </c:strCache>
            </c:strRef>
          </c:cat>
          <c:val>
            <c:numRef>
              <c:f>Лист1!$C$2:$C$6</c:f>
              <c:numCache>
                <c:formatCode>General</c:formatCode>
                <c:ptCount val="5"/>
                <c:pt idx="0">
                  <c:v>11001.6</c:v>
                </c:pt>
                <c:pt idx="1">
                  <c:v>834.8</c:v>
                </c:pt>
                <c:pt idx="2" formatCode="0.0">
                  <c:v>700</c:v>
                </c:pt>
                <c:pt idx="3">
                  <c:v>2551.3000000000002</c:v>
                </c:pt>
                <c:pt idx="4">
                  <c:v>250.1</c:v>
                </c:pt>
              </c:numCache>
            </c:numRef>
          </c:val>
        </c:ser>
        <c:gapWidth val="100"/>
        <c:overlap val="-24"/>
        <c:axId val="148252544"/>
        <c:axId val="148254080"/>
      </c:barChart>
      <c:catAx>
        <c:axId val="148252544"/>
        <c:scaling>
          <c:orientation val="minMax"/>
        </c:scaling>
        <c:axPos val="b"/>
        <c:numFmt formatCode="General" sourceLinked="1"/>
        <c:majorTickMark val="none"/>
        <c:tickLblPos val="nextTo"/>
        <c:txPr>
          <a:bodyPr rot="-60000000" vert="horz"/>
          <a:lstStyle/>
          <a:p>
            <a:pPr>
              <a:defRPr lang="ru-RU"/>
            </a:pPr>
            <a:endParaRPr lang="uk-UA"/>
          </a:p>
        </c:txPr>
        <c:crossAx val="148254080"/>
        <c:crosses val="autoZero"/>
        <c:auto val="1"/>
        <c:lblAlgn val="ctr"/>
        <c:lblOffset val="100"/>
      </c:catAx>
      <c:valAx>
        <c:axId val="148254080"/>
        <c:scaling>
          <c:orientation val="minMax"/>
        </c:scaling>
        <c:delete val="1"/>
        <c:axPos val="l"/>
        <c:majorGridlines/>
        <c:numFmt formatCode="0.0" sourceLinked="1"/>
        <c:tickLblPos val="none"/>
        <c:crossAx val="148252544"/>
        <c:crosses val="autoZero"/>
        <c:crossBetween val="between"/>
      </c:valAx>
      <c:dTable>
        <c:showHorzBorder val="1"/>
        <c:showVertBorder val="1"/>
        <c:showOutline val="1"/>
        <c:showKeys val="1"/>
        <c:txPr>
          <a:bodyPr rot="0" vert="horz"/>
          <a:lstStyle/>
          <a:p>
            <a:pPr rtl="0">
              <a:defRPr lang="ru-RU" sz="1199" b="1">
                <a:latin typeface="Times New Roman" pitchFamily="18" charset="0"/>
                <a:cs typeface="Times New Roman" pitchFamily="18" charset="0"/>
              </a:defRPr>
            </a:pPr>
            <a:endParaRPr lang="uk-UA"/>
          </a:p>
        </c:txPr>
      </c:dTable>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uk-UA"/>
  <c:style val="34"/>
  <c:chart>
    <c:view3D>
      <c:hPercent val="125"/>
      <c:depthPercent val="100"/>
      <c:rAngAx val="1"/>
    </c:view3D>
    <c:plotArea>
      <c:layout>
        <c:manualLayout>
          <c:layoutTarget val="inner"/>
          <c:xMode val="edge"/>
          <c:yMode val="edge"/>
          <c:x val="0.2985651565392658"/>
          <c:y val="5.3942884005170821E-4"/>
          <c:w val="0.70038069719772644"/>
          <c:h val="0.88350909261343913"/>
        </c:manualLayout>
      </c:layout>
      <c:bar3DChart>
        <c:barDir val="bar"/>
        <c:grouping val="clustered"/>
        <c:ser>
          <c:idx val="0"/>
          <c:order val="0"/>
          <c:tx>
            <c:strRef>
              <c:f>Sheet1!$A$2</c:f>
              <c:strCache>
                <c:ptCount val="1"/>
                <c:pt idx="0">
                  <c:v>І квартал 2022</c:v>
                </c:pt>
              </c:strCache>
            </c:strRef>
          </c:tx>
          <c:dLbls>
            <c:spPr>
              <a:noFill/>
              <a:ln w="25384">
                <a:noFill/>
              </a:ln>
            </c:spPr>
            <c:txPr>
              <a:bodyPr/>
              <a:lstStyle/>
              <a:p>
                <a:pPr>
                  <a:defRPr lang="ru-RU" sz="1399" b="1">
                    <a:latin typeface="Times New Roman" pitchFamily="18" charset="0"/>
                    <a:cs typeface="Times New Roman" pitchFamily="18" charset="0"/>
                  </a:defRPr>
                </a:pPr>
                <a:endParaRPr lang="uk-UA"/>
              </a:p>
            </c:txPr>
            <c:showVal val="1"/>
          </c:dLbls>
          <c:cat>
            <c:strRef>
              <c:f>Sheet1!$B$1:$G$1</c:f>
              <c:strCache>
                <c:ptCount val="6"/>
                <c:pt idx="0">
                  <c:v>Податок на нерух. майно з ЮО</c:v>
                </c:pt>
                <c:pt idx="1">
                  <c:v>Податок на нерух. майно з ФО</c:v>
                </c:pt>
                <c:pt idx="2">
                  <c:v>Орендна плата з ЮО</c:v>
                </c:pt>
                <c:pt idx="3">
                  <c:v>Орендна плата з ФО</c:v>
                </c:pt>
                <c:pt idx="4">
                  <c:v>Земельний податок з ЮО</c:v>
                </c:pt>
                <c:pt idx="5">
                  <c:v>Земельний податок з ФО</c:v>
                </c:pt>
              </c:strCache>
            </c:strRef>
          </c:cat>
          <c:val>
            <c:numRef>
              <c:f>Sheet1!$B$2:$G$2</c:f>
              <c:numCache>
                <c:formatCode>General</c:formatCode>
                <c:ptCount val="6"/>
                <c:pt idx="0">
                  <c:v>60.8</c:v>
                </c:pt>
                <c:pt idx="1">
                  <c:v>5.5</c:v>
                </c:pt>
                <c:pt idx="2">
                  <c:v>268.3</c:v>
                </c:pt>
                <c:pt idx="3">
                  <c:v>105.3</c:v>
                </c:pt>
                <c:pt idx="4" formatCode="0.0">
                  <c:v>146</c:v>
                </c:pt>
                <c:pt idx="5">
                  <c:v>32.300000000000004</c:v>
                </c:pt>
              </c:numCache>
            </c:numRef>
          </c:val>
        </c:ser>
        <c:ser>
          <c:idx val="1"/>
          <c:order val="1"/>
          <c:tx>
            <c:strRef>
              <c:f>Sheet1!$A$3</c:f>
              <c:strCache>
                <c:ptCount val="1"/>
                <c:pt idx="0">
                  <c:v>І квартал 2023</c:v>
                </c:pt>
              </c:strCache>
            </c:strRef>
          </c:tx>
          <c:dLbls>
            <c:dLbl>
              <c:idx val="0"/>
              <c:layout>
                <c:manualLayout>
                  <c:x val="8.6918730986527519E-3"/>
                  <c:y val="2.9761904761904812E-3"/>
                </c:manualLayout>
              </c:layout>
              <c:tx>
                <c:rich>
                  <a:bodyPr/>
                  <a:lstStyle/>
                  <a:p>
                    <a:r>
                      <a:rPr lang="en-US">
                        <a:latin typeface="Times New Roman" pitchFamily="18" charset="0"/>
                        <a:cs typeface="Times New Roman" pitchFamily="18" charset="0"/>
                      </a:rPr>
                      <a:t>286,8</a:t>
                    </a:r>
                  </a:p>
                  <a:p>
                    <a:endParaRPr lang="en-US">
                      <a:latin typeface="Times New Roman" pitchFamily="18" charset="0"/>
                      <a:cs typeface="Times New Roman" pitchFamily="18" charset="0"/>
                    </a:endParaRPr>
                  </a:p>
                </c:rich>
              </c:tx>
            </c:dLbl>
            <c:dLbl>
              <c:idx val="1"/>
              <c:layout>
                <c:manualLayout>
                  <c:x val="8.6918730986527519E-3"/>
                  <c:y val="-2.0833333333333412E-2"/>
                </c:manualLayout>
              </c:layout>
              <c:showVal val="1"/>
            </c:dLbl>
            <c:dLbl>
              <c:idx val="2"/>
              <c:layout>
                <c:manualLayout>
                  <c:x val="2.1729682746631867E-3"/>
                  <c:y val="-1.7857142857142856E-2"/>
                </c:manualLayout>
              </c:layout>
              <c:showVal val="1"/>
            </c:dLbl>
            <c:dLbl>
              <c:idx val="3"/>
              <c:layout>
                <c:manualLayout>
                  <c:x val="7.9674582996744032E-17"/>
                  <c:y val="-1.7857142857142856E-2"/>
                </c:manualLayout>
              </c:layout>
              <c:showVal val="1"/>
            </c:dLbl>
            <c:dLbl>
              <c:idx val="4"/>
              <c:layout>
                <c:manualLayout>
                  <c:x val="8.6918730986527519E-3"/>
                  <c:y val="-1.7857142857142884E-2"/>
                </c:manualLayout>
              </c:layout>
              <c:showVal val="1"/>
            </c:dLbl>
            <c:dLbl>
              <c:idx val="5"/>
              <c:layout>
                <c:manualLayout>
                  <c:x val="2.1729682746631867E-3"/>
                  <c:y val="-2.0833333333333412E-2"/>
                </c:manualLayout>
              </c:layout>
              <c:showVal val="1"/>
            </c:dLbl>
            <c:spPr>
              <a:noFill/>
              <a:ln w="25384">
                <a:noFill/>
              </a:ln>
            </c:spPr>
            <c:txPr>
              <a:bodyPr/>
              <a:lstStyle/>
              <a:p>
                <a:pPr>
                  <a:defRPr lang="ru-RU" sz="1399" b="1">
                    <a:latin typeface="Times New Roman" pitchFamily="18" charset="0"/>
                    <a:cs typeface="Times New Roman" pitchFamily="18" charset="0"/>
                  </a:defRPr>
                </a:pPr>
                <a:endParaRPr lang="uk-UA"/>
              </a:p>
            </c:txPr>
            <c:showVal val="1"/>
          </c:dLbls>
          <c:cat>
            <c:strRef>
              <c:f>Sheet1!$B$1:$G$1</c:f>
              <c:strCache>
                <c:ptCount val="6"/>
                <c:pt idx="0">
                  <c:v>Податок на нерух. майно з ЮО</c:v>
                </c:pt>
                <c:pt idx="1">
                  <c:v>Податок на нерух. майно з ФО</c:v>
                </c:pt>
                <c:pt idx="2">
                  <c:v>Орендна плата з ЮО</c:v>
                </c:pt>
                <c:pt idx="3">
                  <c:v>Орендна плата з ФО</c:v>
                </c:pt>
                <c:pt idx="4">
                  <c:v>Земельний податок з ЮО</c:v>
                </c:pt>
                <c:pt idx="5">
                  <c:v>Земельний податок з ФО</c:v>
                </c:pt>
              </c:strCache>
            </c:strRef>
          </c:cat>
          <c:val>
            <c:numRef>
              <c:f>Sheet1!$B$3:$G$3</c:f>
              <c:numCache>
                <c:formatCode>General</c:formatCode>
                <c:ptCount val="6"/>
                <c:pt idx="0">
                  <c:v>103.7</c:v>
                </c:pt>
                <c:pt idx="1">
                  <c:v>84.1</c:v>
                </c:pt>
                <c:pt idx="2">
                  <c:v>436.9</c:v>
                </c:pt>
                <c:pt idx="3">
                  <c:v>219.9</c:v>
                </c:pt>
                <c:pt idx="4" formatCode="0.0">
                  <c:v>345</c:v>
                </c:pt>
                <c:pt idx="5" formatCode="0.0">
                  <c:v>168</c:v>
                </c:pt>
              </c:numCache>
            </c:numRef>
          </c:val>
        </c:ser>
        <c:gapDepth val="0"/>
        <c:shape val="cylinder"/>
        <c:axId val="166979456"/>
        <c:axId val="166980992"/>
        <c:axId val="0"/>
      </c:bar3DChart>
      <c:catAx>
        <c:axId val="166979456"/>
        <c:scaling>
          <c:orientation val="minMax"/>
        </c:scaling>
        <c:axPos val="l"/>
        <c:majorGridlines/>
        <c:minorGridlines/>
        <c:numFmt formatCode="General" sourceLinked="1"/>
        <c:tickLblPos val="low"/>
        <c:txPr>
          <a:bodyPr rot="0" vert="horz"/>
          <a:lstStyle/>
          <a:p>
            <a:pPr>
              <a:defRPr lang="ru-RU" sz="1399" b="1">
                <a:latin typeface="Times New Roman" pitchFamily="18" charset="0"/>
                <a:cs typeface="Times New Roman" pitchFamily="18" charset="0"/>
              </a:defRPr>
            </a:pPr>
            <a:endParaRPr lang="uk-UA"/>
          </a:p>
        </c:txPr>
        <c:crossAx val="166980992"/>
        <c:crosses val="autoZero"/>
        <c:auto val="1"/>
        <c:lblAlgn val="ctr"/>
        <c:lblOffset val="100"/>
      </c:catAx>
      <c:valAx>
        <c:axId val="166980992"/>
        <c:scaling>
          <c:orientation val="minMax"/>
        </c:scaling>
        <c:delete val="1"/>
        <c:axPos val="b"/>
        <c:majorGridlines/>
        <c:numFmt formatCode="General" sourceLinked="1"/>
        <c:tickLblPos val="none"/>
        <c:crossAx val="166979456"/>
        <c:crosses val="autoZero"/>
        <c:crossBetween val="between"/>
      </c:valAx>
      <c:spPr>
        <a:noFill/>
        <a:ln w="25384">
          <a:noFill/>
        </a:ln>
      </c:spPr>
    </c:plotArea>
    <c:legend>
      <c:legendPos val="r"/>
      <c:layout>
        <c:manualLayout>
          <c:xMode val="edge"/>
          <c:yMode val="edge"/>
          <c:x val="0.28992283547496023"/>
          <c:y val="0.88437007874015738"/>
          <c:w val="0.46001268798747247"/>
          <c:h val="6.2508580658187221E-2"/>
        </c:manualLayout>
      </c:layout>
      <c:txPr>
        <a:bodyPr/>
        <a:lstStyle/>
        <a:p>
          <a:pPr>
            <a:defRPr lang="ru-RU" sz="1399" b="1"/>
          </a:pPr>
          <a:endParaRPr lang="uk-UA"/>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uk-UA"/>
  <c:chart>
    <c:autoTitleDeleted val="1"/>
    <c:view3D>
      <c:rotX val="9"/>
      <c:hPercent val="55"/>
      <c:rotY val="29"/>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0.38591549295775718"/>
          <c:y val="2.1126760563380278E-2"/>
          <c:w val="0.61408450704225348"/>
          <c:h val="0.53755868544600938"/>
        </c:manualLayout>
      </c:layout>
      <c:bar3DChart>
        <c:barDir val="col"/>
        <c:grouping val="clustered"/>
        <c:ser>
          <c:idx val="1"/>
          <c:order val="0"/>
          <c:tx>
            <c:strRef>
              <c:f>Sheet1!$A$2</c:f>
              <c:strCache>
                <c:ptCount val="1"/>
                <c:pt idx="0">
                  <c:v>2022 рік</c:v>
                </c:pt>
              </c:strCache>
            </c:strRef>
          </c:tx>
          <c:spPr>
            <a:solidFill>
              <a:srgbClr val="333399"/>
            </a:solidFill>
            <a:ln w="12696">
              <a:solidFill>
                <a:srgbClr val="000000"/>
              </a:solidFill>
              <a:prstDash val="solid"/>
            </a:ln>
          </c:spPr>
          <c:dLbls>
            <c:dLbl>
              <c:idx val="0"/>
              <c:layout>
                <c:manualLayout>
                  <c:x val="1.9050197640017631E-2"/>
                  <c:y val="-3.1411594357803711E-2"/>
                </c:manualLayout>
              </c:layout>
              <c:showVal val="1"/>
            </c:dLbl>
            <c:dLbl>
              <c:idx val="1"/>
              <c:layout>
                <c:manualLayout>
                  <c:x val="1.8293591117327354E-2"/>
                  <c:y val="-2.2268255805839236E-2"/>
                </c:manualLayout>
              </c:layout>
              <c:showVal val="1"/>
            </c:dLbl>
            <c:dLbl>
              <c:idx val="2"/>
              <c:layout>
                <c:manualLayout>
                  <c:x val="2.1450899004236697E-2"/>
                  <c:y val="-2.3466898524466002E-2"/>
                </c:manualLayout>
              </c:layout>
              <c:showVal val="1"/>
            </c:dLbl>
            <c:dLbl>
              <c:idx val="3"/>
              <c:layout>
                <c:manualLayout>
                  <c:x val="2.3303665991694273E-2"/>
                  <c:y val="-4.5966317193476533E-2"/>
                </c:manualLayout>
              </c:layout>
              <c:showVal val="1"/>
            </c:dLbl>
            <c:dLbl>
              <c:idx val="4"/>
              <c:layout>
                <c:manualLayout>
                  <c:x val="2.3747836419304696E-2"/>
                  <c:y val="-3.0927871379736731E-2"/>
                </c:manualLayout>
              </c:layout>
              <c:showVal val="1"/>
            </c:dLbl>
            <c:spPr>
              <a:solidFill>
                <a:srgbClr val="FFFFFF"/>
              </a:solidFill>
              <a:ln w="25392">
                <a:noFill/>
              </a:ln>
            </c:spPr>
            <c:txPr>
              <a:bodyPr/>
              <a:lstStyle/>
              <a:p>
                <a:pPr>
                  <a:defRPr sz="800" b="1" i="0" u="none" strike="noStrike" baseline="0">
                    <a:solidFill>
                      <a:srgbClr val="000000"/>
                    </a:solidFill>
                    <a:latin typeface="Arial"/>
                    <a:ea typeface="Arial"/>
                    <a:cs typeface="Arial"/>
                  </a:defRPr>
                </a:pPr>
                <a:endParaRPr lang="uk-UA"/>
              </a:p>
            </c:txPr>
            <c:showVal val="1"/>
          </c:dLbls>
          <c:cat>
            <c:strRef>
              <c:f>Sheet1!$B$1:$F$1</c:f>
              <c:strCache>
                <c:ptCount val="5"/>
                <c:pt idx="0">
                  <c:v>Освіта</c:v>
                </c:pt>
                <c:pt idx="1">
                  <c:v>Охорона здоров’я</c:v>
                </c:pt>
                <c:pt idx="2">
                  <c:v>Соціальний захист та соціальне забезпечення</c:v>
                </c:pt>
                <c:pt idx="3">
                  <c:v>Культура та мистецтво</c:v>
                </c:pt>
                <c:pt idx="4">
                  <c:v>Органи місцевого самоврядування</c:v>
                </c:pt>
              </c:strCache>
            </c:strRef>
          </c:cat>
          <c:val>
            <c:numRef>
              <c:f>Sheet1!$B$2:$F$2</c:f>
              <c:numCache>
                <c:formatCode>General</c:formatCode>
                <c:ptCount val="5"/>
                <c:pt idx="0">
                  <c:v>43183.9</c:v>
                </c:pt>
                <c:pt idx="1">
                  <c:v>683.6</c:v>
                </c:pt>
                <c:pt idx="2">
                  <c:v>1031.2</c:v>
                </c:pt>
                <c:pt idx="3">
                  <c:v>1361.5</c:v>
                </c:pt>
                <c:pt idx="4">
                  <c:v>3556.8</c:v>
                </c:pt>
              </c:numCache>
            </c:numRef>
          </c:val>
        </c:ser>
        <c:ser>
          <c:idx val="2"/>
          <c:order val="1"/>
          <c:tx>
            <c:strRef>
              <c:f>Sheet1!$A$3</c:f>
              <c:strCache>
                <c:ptCount val="1"/>
                <c:pt idx="0">
                  <c:v>2023 рік</c:v>
                </c:pt>
              </c:strCache>
            </c:strRef>
          </c:tx>
          <c:spPr>
            <a:solidFill>
              <a:srgbClr val="009999"/>
            </a:solidFill>
            <a:ln w="12696">
              <a:solidFill>
                <a:srgbClr val="000000"/>
              </a:solidFill>
              <a:prstDash val="solid"/>
            </a:ln>
          </c:spPr>
          <c:dLbls>
            <c:dLbl>
              <c:idx val="0"/>
              <c:layout>
                <c:manualLayout>
                  <c:x val="4.2850660205714812E-2"/>
                  <c:y val="-8.2196362802810768E-3"/>
                </c:manualLayout>
              </c:layout>
              <c:showVal val="1"/>
            </c:dLbl>
            <c:dLbl>
              <c:idx val="1"/>
              <c:layout>
                <c:manualLayout>
                  <c:x val="2.6497331987394717E-2"/>
                  <c:y val="-3.4536086344690478E-2"/>
                </c:manualLayout>
              </c:layout>
              <c:showVal val="1"/>
            </c:dLbl>
            <c:dLbl>
              <c:idx val="2"/>
              <c:layout>
                <c:manualLayout>
                  <c:x val="5.3702065795286164E-2"/>
                  <c:y val="-8.2206193606041804E-3"/>
                </c:manualLayout>
              </c:layout>
              <c:showVal val="1"/>
            </c:dLbl>
            <c:dLbl>
              <c:idx val="3"/>
              <c:layout>
                <c:manualLayout>
                  <c:x val="2.0343565177110202E-2"/>
                  <c:y val="-9.7744828993265795E-3"/>
                </c:manualLayout>
              </c:layout>
              <c:showVal val="1"/>
            </c:dLbl>
            <c:dLbl>
              <c:idx val="4"/>
              <c:layout>
                <c:manualLayout>
                  <c:x val="4.1914642023722568E-2"/>
                  <c:y val="-1.4595364732206979E-2"/>
                </c:manualLayout>
              </c:layout>
              <c:showVal val="1"/>
            </c:dLbl>
            <c:spPr>
              <a:noFill/>
              <a:ln w="25392">
                <a:noFill/>
              </a:ln>
            </c:spPr>
            <c:txPr>
              <a:bodyPr/>
              <a:lstStyle/>
              <a:p>
                <a:pPr>
                  <a:defRPr sz="800" b="1" i="0" u="none" strike="noStrike" baseline="0">
                    <a:solidFill>
                      <a:srgbClr val="000000"/>
                    </a:solidFill>
                    <a:latin typeface="Arial"/>
                    <a:ea typeface="Arial"/>
                    <a:cs typeface="Arial"/>
                  </a:defRPr>
                </a:pPr>
                <a:endParaRPr lang="uk-UA"/>
              </a:p>
            </c:txPr>
            <c:showVal val="1"/>
          </c:dLbls>
          <c:cat>
            <c:strRef>
              <c:f>Sheet1!$B$1:$F$1</c:f>
              <c:strCache>
                <c:ptCount val="5"/>
                <c:pt idx="0">
                  <c:v>Освіта</c:v>
                </c:pt>
                <c:pt idx="1">
                  <c:v>Охорона здоров’я</c:v>
                </c:pt>
                <c:pt idx="2">
                  <c:v>Соціальний захист та соціальне забезпечення</c:v>
                </c:pt>
                <c:pt idx="3">
                  <c:v>Культура та мистецтво</c:v>
                </c:pt>
                <c:pt idx="4">
                  <c:v>Органи місцевого самоврядування</c:v>
                </c:pt>
              </c:strCache>
            </c:strRef>
          </c:cat>
          <c:val>
            <c:numRef>
              <c:f>Sheet1!$B$3:$F$3</c:f>
              <c:numCache>
                <c:formatCode>General</c:formatCode>
                <c:ptCount val="5"/>
                <c:pt idx="0">
                  <c:v>45256.3</c:v>
                </c:pt>
                <c:pt idx="1">
                  <c:v>1097.5999999999999</c:v>
                </c:pt>
                <c:pt idx="2">
                  <c:v>1380.1</c:v>
                </c:pt>
                <c:pt idx="3">
                  <c:v>1225.5999999999999</c:v>
                </c:pt>
                <c:pt idx="4">
                  <c:v>3780.3</c:v>
                </c:pt>
              </c:numCache>
            </c:numRef>
          </c:val>
        </c:ser>
        <c:dLbls>
          <c:showVal val="1"/>
        </c:dLbls>
        <c:gapWidth val="80"/>
        <c:gapDepth val="110"/>
        <c:shape val="box"/>
        <c:axId val="167244544"/>
        <c:axId val="167246080"/>
        <c:axId val="0"/>
      </c:bar3DChart>
      <c:catAx>
        <c:axId val="167244544"/>
        <c:scaling>
          <c:orientation val="minMax"/>
        </c:scaling>
        <c:axPos val="b"/>
        <c:numFmt formatCode="General" sourceLinked="1"/>
        <c:tickLblPos val="low"/>
        <c:spPr>
          <a:ln w="3174">
            <a:solidFill>
              <a:srgbClr val="000000"/>
            </a:solidFill>
            <a:prstDash val="solid"/>
          </a:ln>
        </c:spPr>
        <c:txPr>
          <a:bodyPr rot="-1620000" vert="horz"/>
          <a:lstStyle/>
          <a:p>
            <a:pPr>
              <a:defRPr sz="875" b="1" i="0" u="none" strike="noStrike" baseline="0">
                <a:solidFill>
                  <a:srgbClr val="000000"/>
                </a:solidFill>
                <a:latin typeface="Arial"/>
                <a:ea typeface="Arial"/>
                <a:cs typeface="Arial"/>
              </a:defRPr>
            </a:pPr>
            <a:endParaRPr lang="uk-UA"/>
          </a:p>
        </c:txPr>
        <c:crossAx val="167246080"/>
        <c:crosses val="autoZero"/>
        <c:auto val="1"/>
        <c:lblAlgn val="ctr"/>
        <c:lblOffset val="100"/>
        <c:tickLblSkip val="1"/>
        <c:tickMarkSkip val="1"/>
      </c:catAx>
      <c:valAx>
        <c:axId val="167246080"/>
        <c:scaling>
          <c:orientation val="minMax"/>
        </c:scaling>
        <c:delete val="1"/>
        <c:axPos val="l"/>
        <c:majorGridlines>
          <c:spPr>
            <a:ln w="12696">
              <a:solidFill>
                <a:srgbClr val="808080"/>
              </a:solidFill>
              <a:prstDash val="solid"/>
            </a:ln>
          </c:spPr>
        </c:majorGridlines>
        <c:numFmt formatCode="General" sourceLinked="1"/>
        <c:tickLblPos val="none"/>
        <c:crossAx val="167244544"/>
        <c:crosses val="autoZero"/>
        <c:crossBetween val="between"/>
      </c:valAx>
      <c:spPr>
        <a:noFill/>
        <a:ln w="25392">
          <a:noFill/>
        </a:ln>
      </c:spPr>
    </c:plotArea>
    <c:legend>
      <c:legendPos val="r"/>
      <c:layout>
        <c:manualLayout>
          <c:xMode val="edge"/>
          <c:yMode val="edge"/>
          <c:x val="0.7816901408450706"/>
          <c:y val="0.7206572769953159"/>
          <c:w val="0.21830985915493245"/>
          <c:h val="5.8685446009389665E-2"/>
        </c:manualLayout>
      </c:layout>
      <c:spPr>
        <a:noFill/>
        <a:ln w="3174">
          <a:solidFill>
            <a:srgbClr val="000000"/>
          </a:solidFill>
          <a:prstDash val="solid"/>
        </a:ln>
      </c:spPr>
      <c:txPr>
        <a:bodyPr/>
        <a:lstStyle/>
        <a:p>
          <a:pPr>
            <a:defRPr sz="965" b="1" i="0" u="none" strike="noStrike" baseline="0">
              <a:solidFill>
                <a:srgbClr val="000000"/>
              </a:solidFill>
              <a:latin typeface="Arial"/>
              <a:ea typeface="Arial"/>
              <a:cs typeface="Arial"/>
            </a:defRPr>
          </a:pPr>
          <a:endParaRPr lang="uk-UA"/>
        </a:p>
      </c:txPr>
    </c:legend>
    <c:plotVisOnly val="1"/>
    <c:dispBlanksAs val="gap"/>
  </c:chart>
  <c:spPr>
    <a:noFill/>
    <a:ln>
      <a:noFill/>
    </a:ln>
  </c:spPr>
  <c:txPr>
    <a:bodyPr/>
    <a:lstStyle/>
    <a:p>
      <a:pPr>
        <a:defRPr sz="1849" b="1" i="0" u="none" strike="noStrike" baseline="0">
          <a:solidFill>
            <a:srgbClr val="000000"/>
          </a:solidFill>
          <a:latin typeface="Arial"/>
          <a:ea typeface="Arial"/>
          <a:cs typeface="Arial"/>
        </a:defRPr>
      </a:pPr>
      <a:endParaRPr lang="uk-UA"/>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uk-UA"/>
  <c:chart>
    <c:autoTitleDeleted val="1"/>
    <c:plotArea>
      <c:layout>
        <c:manualLayout>
          <c:layoutTarget val="inner"/>
          <c:xMode val="edge"/>
          <c:yMode val="edge"/>
          <c:x val="4.8076923076923114E-2"/>
          <c:y val="0.10451306413301663"/>
          <c:w val="0.54006410256410264"/>
          <c:h val="0.8004750593824228"/>
        </c:manualLayout>
      </c:layout>
      <c:pieChart>
        <c:varyColors val="1"/>
        <c:ser>
          <c:idx val="0"/>
          <c:order val="0"/>
          <c:tx>
            <c:strRef>
              <c:f>Sheet1!$A$2</c:f>
              <c:strCache>
                <c:ptCount val="1"/>
              </c:strCache>
            </c:strRef>
          </c:tx>
          <c:spPr>
            <a:solidFill>
              <a:srgbClr val="9999FF"/>
            </a:solidFill>
            <a:ln w="12709">
              <a:solidFill>
                <a:srgbClr val="000000"/>
              </a:solidFill>
              <a:prstDash val="solid"/>
            </a:ln>
          </c:spPr>
          <c:explosion val="10"/>
          <c:dPt>
            <c:idx val="1"/>
            <c:spPr>
              <a:solidFill>
                <a:srgbClr val="993366"/>
              </a:solidFill>
              <a:ln w="12709">
                <a:solidFill>
                  <a:srgbClr val="000000"/>
                </a:solidFill>
                <a:prstDash val="solid"/>
              </a:ln>
            </c:spPr>
          </c:dPt>
          <c:dPt>
            <c:idx val="2"/>
            <c:spPr>
              <a:solidFill>
                <a:srgbClr val="FFFFCC"/>
              </a:solidFill>
              <a:ln w="12709">
                <a:solidFill>
                  <a:srgbClr val="000000"/>
                </a:solidFill>
                <a:prstDash val="solid"/>
              </a:ln>
            </c:spPr>
          </c:dPt>
          <c:dPt>
            <c:idx val="3"/>
            <c:spPr>
              <a:solidFill>
                <a:srgbClr val="CCFFFF"/>
              </a:solidFill>
              <a:ln w="12709">
                <a:solidFill>
                  <a:srgbClr val="000000"/>
                </a:solidFill>
                <a:prstDash val="solid"/>
              </a:ln>
            </c:spPr>
          </c:dPt>
          <c:dPt>
            <c:idx val="4"/>
            <c:spPr>
              <a:solidFill>
                <a:srgbClr val="660066"/>
              </a:solidFill>
              <a:ln w="12709">
                <a:solidFill>
                  <a:srgbClr val="000000"/>
                </a:solidFill>
                <a:prstDash val="solid"/>
              </a:ln>
            </c:spPr>
          </c:dPt>
          <c:dLbls>
            <c:dLbl>
              <c:idx val="0"/>
              <c:layout>
                <c:manualLayout>
                  <c:x val="3.9638996182695042E-2"/>
                  <c:y val="-4.5349146065971346E-2"/>
                </c:manualLayout>
              </c:layout>
              <c:tx>
                <c:rich>
                  <a:bodyPr/>
                  <a:lstStyle/>
                  <a:p>
                    <a:r>
                      <a:rPr lang="uk-UA"/>
                      <a:t>87,3</a:t>
                    </a:r>
                  </a:p>
                </c:rich>
              </c:tx>
              <c:dLblPos val="bestFit"/>
            </c:dLbl>
            <c:dLbl>
              <c:idx val="1"/>
              <c:layout>
                <c:manualLayout>
                  <c:x val="-5.0229157866651046E-2"/>
                  <c:y val="2.2673289757074541E-2"/>
                </c:manualLayout>
              </c:layout>
              <c:dLblPos val="bestFit"/>
              <c:showVal val="1"/>
            </c:dLbl>
            <c:dLbl>
              <c:idx val="2"/>
              <c:layout>
                <c:manualLayout>
                  <c:x val="-8.4885778583051227E-2"/>
                  <c:y val="-2.7042552452776637E-3"/>
                </c:manualLayout>
              </c:layout>
              <c:tx>
                <c:rich>
                  <a:bodyPr/>
                  <a:lstStyle/>
                  <a:p>
                    <a:r>
                      <a:rPr lang="uk-UA"/>
                      <a:t>0,5</a:t>
                    </a:r>
                  </a:p>
                </c:rich>
              </c:tx>
              <c:dLblPos val="bestFit"/>
            </c:dLbl>
            <c:dLbl>
              <c:idx val="3"/>
              <c:layout>
                <c:manualLayout>
                  <c:x val="-6.3685403590217515E-2"/>
                  <c:y val="-3.1398439842720637E-2"/>
                </c:manualLayout>
              </c:layout>
              <c:dLblPos val="bestFit"/>
              <c:showVal val="1"/>
            </c:dLbl>
            <c:dLbl>
              <c:idx val="4"/>
              <c:layout>
                <c:manualLayout>
                  <c:x val="-1.7892660112974086E-2"/>
                  <c:y val="-5.2084091215807739E-2"/>
                </c:manualLayout>
              </c:layout>
              <c:dLblPos val="bestFit"/>
              <c:showVal val="1"/>
            </c:dLbl>
            <c:dLbl>
              <c:idx val="5"/>
              <c:layout>
                <c:manualLayout>
                  <c:xMode val="edge"/>
                  <c:yMode val="edge"/>
                  <c:x val="0.30608974358975288"/>
                  <c:y val="4.9881235154394424E-2"/>
                </c:manualLayout>
              </c:layout>
              <c:tx>
                <c:rich>
                  <a:bodyPr/>
                  <a:lstStyle/>
                  <a:p>
                    <a:r>
                      <a:t>4,0</a:t>
                    </a:r>
                  </a:p>
                </c:rich>
              </c:tx>
              <c:dLblPos val="bestFit"/>
            </c:dLbl>
            <c:spPr>
              <a:noFill/>
              <a:ln w="25419">
                <a:noFill/>
              </a:ln>
            </c:spPr>
            <c:txPr>
              <a:bodyPr/>
              <a:lstStyle/>
              <a:p>
                <a:pPr algn="l">
                  <a:defRPr sz="876" b="1" i="0" u="none" strike="noStrike" baseline="0">
                    <a:solidFill>
                      <a:srgbClr val="000000"/>
                    </a:solidFill>
                    <a:latin typeface="Calibri"/>
                    <a:ea typeface="Calibri"/>
                    <a:cs typeface="Calibri"/>
                  </a:defRPr>
                </a:pPr>
                <a:endParaRPr lang="uk-UA"/>
              </a:p>
            </c:txPr>
            <c:dLblPos val="bestFit"/>
            <c:showVal val="1"/>
            <c:showLeaderLines val="1"/>
          </c:dLbls>
          <c:cat>
            <c:strRef>
              <c:f>Sheet1!$B$1:$F$1</c:f>
              <c:strCache>
                <c:ptCount val="5"/>
                <c:pt idx="0">
                  <c:v>Заробітна плата з нарахуваннями</c:v>
                </c:pt>
                <c:pt idx="1">
                  <c:v>Комунальні послуги та енергоносії</c:v>
                </c:pt>
                <c:pt idx="2">
                  <c:v>Продукти харчування</c:v>
                </c:pt>
                <c:pt idx="3">
                  <c:v>Трансферти населенню</c:v>
                </c:pt>
                <c:pt idx="4">
                  <c:v>Інші видатки</c:v>
                </c:pt>
              </c:strCache>
            </c:strRef>
          </c:cat>
          <c:val>
            <c:numRef>
              <c:f>Sheet1!$B$2:$F$2</c:f>
              <c:numCache>
                <c:formatCode>0.0</c:formatCode>
                <c:ptCount val="5"/>
                <c:pt idx="0">
                  <c:v>87.3</c:v>
                </c:pt>
                <c:pt idx="1">
                  <c:v>7.4</c:v>
                </c:pt>
                <c:pt idx="2" formatCode="General">
                  <c:v>0.5</c:v>
                </c:pt>
                <c:pt idx="3">
                  <c:v>0.70000000000000062</c:v>
                </c:pt>
                <c:pt idx="4" formatCode="General">
                  <c:v>4.0999999999999996</c:v>
                </c:pt>
              </c:numCache>
            </c:numRef>
          </c:val>
        </c:ser>
        <c:ser>
          <c:idx val="1"/>
          <c:order val="1"/>
          <c:tx>
            <c:strRef>
              <c:f>Sheet1!$A$3</c:f>
              <c:strCache>
                <c:ptCount val="1"/>
              </c:strCache>
            </c:strRef>
          </c:tx>
          <c:spPr>
            <a:solidFill>
              <a:srgbClr val="993366"/>
            </a:solidFill>
            <a:ln w="12709">
              <a:solidFill>
                <a:srgbClr val="000000"/>
              </a:solidFill>
              <a:prstDash val="solid"/>
            </a:ln>
          </c:spPr>
          <c:explosion val="10"/>
          <c:dPt>
            <c:idx val="0"/>
            <c:spPr>
              <a:solidFill>
                <a:srgbClr val="9999FF"/>
              </a:solidFill>
              <a:ln w="12709">
                <a:solidFill>
                  <a:srgbClr val="000000"/>
                </a:solidFill>
                <a:prstDash val="solid"/>
              </a:ln>
            </c:spPr>
          </c:dPt>
          <c:dPt>
            <c:idx val="2"/>
            <c:spPr>
              <a:solidFill>
                <a:srgbClr val="FFFFCC"/>
              </a:solidFill>
              <a:ln w="12709">
                <a:solidFill>
                  <a:srgbClr val="000000"/>
                </a:solidFill>
                <a:prstDash val="solid"/>
              </a:ln>
            </c:spPr>
          </c:dPt>
          <c:dPt>
            <c:idx val="3"/>
            <c:spPr>
              <a:solidFill>
                <a:srgbClr val="CCFFFF"/>
              </a:solidFill>
              <a:ln w="12709">
                <a:solidFill>
                  <a:srgbClr val="000000"/>
                </a:solidFill>
                <a:prstDash val="solid"/>
              </a:ln>
            </c:spPr>
          </c:dPt>
          <c:dPt>
            <c:idx val="4"/>
            <c:spPr>
              <a:solidFill>
                <a:srgbClr val="660066"/>
              </a:solidFill>
              <a:ln w="12709">
                <a:solidFill>
                  <a:srgbClr val="000000"/>
                </a:solidFill>
                <a:prstDash val="solid"/>
              </a:ln>
            </c:spPr>
          </c:dPt>
          <c:dLbls>
            <c:numFmt formatCode="0%" sourceLinked="0"/>
            <c:spPr>
              <a:noFill/>
              <a:ln w="25419">
                <a:noFill/>
              </a:ln>
            </c:spPr>
            <c:txPr>
              <a:bodyPr/>
              <a:lstStyle/>
              <a:p>
                <a:pPr>
                  <a:defRPr sz="1801" b="1" i="0" u="none" strike="noStrike" baseline="0">
                    <a:solidFill>
                      <a:srgbClr val="000000"/>
                    </a:solidFill>
                    <a:latin typeface="Calibri"/>
                    <a:ea typeface="Calibri"/>
                    <a:cs typeface="Calibri"/>
                  </a:defRPr>
                </a:pPr>
                <a:endParaRPr lang="uk-UA"/>
              </a:p>
            </c:txPr>
            <c:showPercent val="1"/>
            <c:showLeaderLines val="1"/>
          </c:dLbls>
          <c:cat>
            <c:strRef>
              <c:f>Sheet1!$B$1:$F$1</c:f>
              <c:strCache>
                <c:ptCount val="5"/>
                <c:pt idx="0">
                  <c:v>Заробітна плата з нарахуваннями</c:v>
                </c:pt>
                <c:pt idx="1">
                  <c:v>Комунальні послуги та енергоносії</c:v>
                </c:pt>
                <c:pt idx="2">
                  <c:v>Продукти харчування</c:v>
                </c:pt>
                <c:pt idx="3">
                  <c:v>Трансферти населенню</c:v>
                </c:pt>
                <c:pt idx="4">
                  <c:v>Інші видатки</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709">
              <a:solidFill>
                <a:srgbClr val="000000"/>
              </a:solidFill>
              <a:prstDash val="solid"/>
            </a:ln>
          </c:spPr>
          <c:explosion val="10"/>
          <c:dPt>
            <c:idx val="0"/>
            <c:spPr>
              <a:solidFill>
                <a:srgbClr val="9999FF"/>
              </a:solidFill>
              <a:ln w="12709">
                <a:solidFill>
                  <a:srgbClr val="000000"/>
                </a:solidFill>
                <a:prstDash val="solid"/>
              </a:ln>
            </c:spPr>
          </c:dPt>
          <c:dPt>
            <c:idx val="1"/>
            <c:spPr>
              <a:solidFill>
                <a:srgbClr val="993366"/>
              </a:solidFill>
              <a:ln w="12709">
                <a:solidFill>
                  <a:srgbClr val="000000"/>
                </a:solidFill>
                <a:prstDash val="solid"/>
              </a:ln>
            </c:spPr>
          </c:dPt>
          <c:dPt>
            <c:idx val="3"/>
            <c:spPr>
              <a:solidFill>
                <a:srgbClr val="CCFFFF"/>
              </a:solidFill>
              <a:ln w="12709">
                <a:solidFill>
                  <a:srgbClr val="000000"/>
                </a:solidFill>
                <a:prstDash val="solid"/>
              </a:ln>
            </c:spPr>
          </c:dPt>
          <c:dPt>
            <c:idx val="4"/>
            <c:spPr>
              <a:solidFill>
                <a:srgbClr val="660066"/>
              </a:solidFill>
              <a:ln w="12709">
                <a:solidFill>
                  <a:srgbClr val="000000"/>
                </a:solidFill>
                <a:prstDash val="solid"/>
              </a:ln>
            </c:spPr>
          </c:dPt>
          <c:dLbls>
            <c:numFmt formatCode="0%" sourceLinked="0"/>
            <c:spPr>
              <a:noFill/>
              <a:ln w="25419">
                <a:noFill/>
              </a:ln>
            </c:spPr>
            <c:txPr>
              <a:bodyPr/>
              <a:lstStyle/>
              <a:p>
                <a:pPr>
                  <a:defRPr sz="1801" b="1" i="0" u="none" strike="noStrike" baseline="0">
                    <a:solidFill>
                      <a:srgbClr val="000000"/>
                    </a:solidFill>
                    <a:latin typeface="Calibri"/>
                    <a:ea typeface="Calibri"/>
                    <a:cs typeface="Calibri"/>
                  </a:defRPr>
                </a:pPr>
                <a:endParaRPr lang="uk-UA"/>
              </a:p>
            </c:txPr>
            <c:showPercent val="1"/>
            <c:showLeaderLines val="1"/>
          </c:dLbls>
          <c:cat>
            <c:strRef>
              <c:f>Sheet1!$B$1:$F$1</c:f>
              <c:strCache>
                <c:ptCount val="5"/>
                <c:pt idx="0">
                  <c:v>Заробітна плата з нарахуваннями</c:v>
                </c:pt>
                <c:pt idx="1">
                  <c:v>Комунальні послуги та енергоносії</c:v>
                </c:pt>
                <c:pt idx="2">
                  <c:v>Продукти харчування</c:v>
                </c:pt>
                <c:pt idx="3">
                  <c:v>Трансферти населенню</c:v>
                </c:pt>
                <c:pt idx="4">
                  <c:v>Інші видатки</c:v>
                </c:pt>
              </c:strCache>
            </c:strRef>
          </c:cat>
          <c:val>
            <c:numRef>
              <c:f>Sheet1!$B$4:$F$4</c:f>
              <c:numCache>
                <c:formatCode>General</c:formatCode>
                <c:ptCount val="5"/>
              </c:numCache>
            </c:numRef>
          </c:val>
        </c:ser>
        <c:ser>
          <c:idx val="3"/>
          <c:order val="3"/>
          <c:tx>
            <c:strRef>
              <c:f>Sheet1!$A$5</c:f>
              <c:strCache>
                <c:ptCount val="1"/>
              </c:strCache>
            </c:strRef>
          </c:tx>
          <c:spPr>
            <a:solidFill>
              <a:srgbClr val="CCFFFF"/>
            </a:solidFill>
            <a:ln w="12709">
              <a:solidFill>
                <a:srgbClr val="000000"/>
              </a:solidFill>
              <a:prstDash val="solid"/>
            </a:ln>
          </c:spPr>
          <c:explosion val="10"/>
          <c:dPt>
            <c:idx val="0"/>
            <c:spPr>
              <a:solidFill>
                <a:srgbClr val="9999FF"/>
              </a:solidFill>
              <a:ln w="12709">
                <a:solidFill>
                  <a:srgbClr val="000000"/>
                </a:solidFill>
                <a:prstDash val="solid"/>
              </a:ln>
            </c:spPr>
          </c:dPt>
          <c:dPt>
            <c:idx val="1"/>
            <c:spPr>
              <a:solidFill>
                <a:srgbClr val="993366"/>
              </a:solidFill>
              <a:ln w="12709">
                <a:solidFill>
                  <a:srgbClr val="000000"/>
                </a:solidFill>
                <a:prstDash val="solid"/>
              </a:ln>
            </c:spPr>
          </c:dPt>
          <c:dPt>
            <c:idx val="2"/>
            <c:spPr>
              <a:solidFill>
                <a:srgbClr val="FFFFCC"/>
              </a:solidFill>
              <a:ln w="12709">
                <a:solidFill>
                  <a:srgbClr val="000000"/>
                </a:solidFill>
                <a:prstDash val="solid"/>
              </a:ln>
            </c:spPr>
          </c:dPt>
          <c:dPt>
            <c:idx val="4"/>
            <c:spPr>
              <a:solidFill>
                <a:srgbClr val="660066"/>
              </a:solidFill>
              <a:ln w="12709">
                <a:solidFill>
                  <a:srgbClr val="000000"/>
                </a:solidFill>
                <a:prstDash val="solid"/>
              </a:ln>
            </c:spPr>
          </c:dPt>
          <c:dLbls>
            <c:numFmt formatCode="0%" sourceLinked="0"/>
            <c:spPr>
              <a:noFill/>
              <a:ln w="25419">
                <a:noFill/>
              </a:ln>
            </c:spPr>
            <c:txPr>
              <a:bodyPr/>
              <a:lstStyle/>
              <a:p>
                <a:pPr>
                  <a:defRPr sz="1801" b="1" i="0" u="none" strike="noStrike" baseline="0">
                    <a:solidFill>
                      <a:srgbClr val="000000"/>
                    </a:solidFill>
                    <a:latin typeface="Calibri"/>
                    <a:ea typeface="Calibri"/>
                    <a:cs typeface="Calibri"/>
                  </a:defRPr>
                </a:pPr>
                <a:endParaRPr lang="uk-UA"/>
              </a:p>
            </c:txPr>
            <c:showPercent val="1"/>
            <c:showLeaderLines val="1"/>
          </c:dLbls>
          <c:cat>
            <c:strRef>
              <c:f>Sheet1!$B$1:$F$1</c:f>
              <c:strCache>
                <c:ptCount val="5"/>
                <c:pt idx="0">
                  <c:v>Заробітна плата з нарахуваннями</c:v>
                </c:pt>
                <c:pt idx="1">
                  <c:v>Комунальні послуги та енергоносії</c:v>
                </c:pt>
                <c:pt idx="2">
                  <c:v>Продукти харчування</c:v>
                </c:pt>
                <c:pt idx="3">
                  <c:v>Трансферти населенню</c:v>
                </c:pt>
                <c:pt idx="4">
                  <c:v>Інші видатки</c:v>
                </c:pt>
              </c:strCache>
            </c:strRef>
          </c:cat>
          <c:val>
            <c:numRef>
              <c:f>Sheet1!$B$5:$F$5</c:f>
              <c:numCache>
                <c:formatCode>General</c:formatCode>
                <c:ptCount val="5"/>
              </c:numCache>
            </c:numRef>
          </c:val>
        </c:ser>
        <c:ser>
          <c:idx val="4"/>
          <c:order val="4"/>
          <c:tx>
            <c:strRef>
              <c:f>Sheet1!$A$6</c:f>
              <c:strCache>
                <c:ptCount val="1"/>
              </c:strCache>
            </c:strRef>
          </c:tx>
          <c:spPr>
            <a:solidFill>
              <a:srgbClr val="660066"/>
            </a:solidFill>
            <a:ln w="12709">
              <a:solidFill>
                <a:srgbClr val="000000"/>
              </a:solidFill>
              <a:prstDash val="solid"/>
            </a:ln>
          </c:spPr>
          <c:explosion val="10"/>
          <c:dPt>
            <c:idx val="0"/>
            <c:spPr>
              <a:solidFill>
                <a:srgbClr val="9999FF"/>
              </a:solidFill>
              <a:ln w="12709">
                <a:solidFill>
                  <a:srgbClr val="000000"/>
                </a:solidFill>
                <a:prstDash val="solid"/>
              </a:ln>
            </c:spPr>
          </c:dPt>
          <c:dPt>
            <c:idx val="1"/>
            <c:spPr>
              <a:solidFill>
                <a:srgbClr val="993366"/>
              </a:solidFill>
              <a:ln w="12709">
                <a:solidFill>
                  <a:srgbClr val="000000"/>
                </a:solidFill>
                <a:prstDash val="solid"/>
              </a:ln>
            </c:spPr>
          </c:dPt>
          <c:dPt>
            <c:idx val="2"/>
            <c:spPr>
              <a:solidFill>
                <a:srgbClr val="FFFFCC"/>
              </a:solidFill>
              <a:ln w="12709">
                <a:solidFill>
                  <a:srgbClr val="000000"/>
                </a:solidFill>
                <a:prstDash val="solid"/>
              </a:ln>
            </c:spPr>
          </c:dPt>
          <c:dPt>
            <c:idx val="3"/>
            <c:spPr>
              <a:solidFill>
                <a:srgbClr val="CCFFFF"/>
              </a:solidFill>
              <a:ln w="12709">
                <a:solidFill>
                  <a:srgbClr val="000000"/>
                </a:solidFill>
                <a:prstDash val="solid"/>
              </a:ln>
            </c:spPr>
          </c:dPt>
          <c:dLbls>
            <c:numFmt formatCode="0%" sourceLinked="0"/>
            <c:spPr>
              <a:noFill/>
              <a:ln w="25419">
                <a:noFill/>
              </a:ln>
            </c:spPr>
            <c:txPr>
              <a:bodyPr/>
              <a:lstStyle/>
              <a:p>
                <a:pPr>
                  <a:defRPr sz="1801" b="1" i="0" u="none" strike="noStrike" baseline="0">
                    <a:solidFill>
                      <a:srgbClr val="000000"/>
                    </a:solidFill>
                    <a:latin typeface="Calibri"/>
                    <a:ea typeface="Calibri"/>
                    <a:cs typeface="Calibri"/>
                  </a:defRPr>
                </a:pPr>
                <a:endParaRPr lang="uk-UA"/>
              </a:p>
            </c:txPr>
            <c:showPercent val="1"/>
            <c:showLeaderLines val="1"/>
          </c:dLbls>
          <c:cat>
            <c:strRef>
              <c:f>Sheet1!$B$1:$F$1</c:f>
              <c:strCache>
                <c:ptCount val="5"/>
                <c:pt idx="0">
                  <c:v>Заробітна плата з нарахуваннями</c:v>
                </c:pt>
                <c:pt idx="1">
                  <c:v>Комунальні послуги та енергоносії</c:v>
                </c:pt>
                <c:pt idx="2">
                  <c:v>Продукти харчування</c:v>
                </c:pt>
                <c:pt idx="3">
                  <c:v>Трансферти населенню</c:v>
                </c:pt>
                <c:pt idx="4">
                  <c:v>Інші видатки</c:v>
                </c:pt>
              </c:strCache>
            </c:strRef>
          </c:cat>
          <c:val>
            <c:numRef>
              <c:f>Sheet1!$B$6:$F$6</c:f>
              <c:numCache>
                <c:formatCode>General</c:formatCode>
                <c:ptCount val="5"/>
              </c:numCache>
            </c:numRef>
          </c:val>
        </c:ser>
        <c:dLbls>
          <c:showPercent val="1"/>
        </c:dLbls>
        <c:firstSliceAng val="0"/>
      </c:pieChart>
      <c:spPr>
        <a:solidFill>
          <a:srgbClr val="C0C0C0"/>
        </a:solidFill>
        <a:ln w="12709">
          <a:solidFill>
            <a:srgbClr val="808080"/>
          </a:solidFill>
          <a:prstDash val="solid"/>
        </a:ln>
      </c:spPr>
    </c:plotArea>
    <c:legend>
      <c:legendPos val="r"/>
      <c:layout>
        <c:manualLayout>
          <c:xMode val="edge"/>
          <c:yMode val="edge"/>
          <c:x val="0.64743589743590946"/>
          <c:y val="1.1876484560570081E-2"/>
          <c:w val="0.31250000000000477"/>
          <c:h val="0.99049881235155479"/>
        </c:manualLayout>
      </c:layout>
      <c:spPr>
        <a:solidFill>
          <a:srgbClr val="FFFFFF"/>
        </a:solidFill>
        <a:ln w="3177">
          <a:solidFill>
            <a:srgbClr val="000000"/>
          </a:solidFill>
          <a:prstDash val="solid"/>
        </a:ln>
      </c:spPr>
      <c:txPr>
        <a:bodyPr/>
        <a:lstStyle/>
        <a:p>
          <a:pPr>
            <a:defRPr sz="1381" b="1" i="0" u="none" strike="noStrike" baseline="0">
              <a:solidFill>
                <a:srgbClr val="000000"/>
              </a:solidFill>
              <a:latin typeface="Calibri"/>
              <a:ea typeface="Calibri"/>
              <a:cs typeface="Calibri"/>
            </a:defRPr>
          </a:pPr>
          <a:endParaRPr lang="uk-UA"/>
        </a:p>
      </c:txPr>
    </c:legend>
    <c:plotVisOnly val="1"/>
    <c:dispBlanksAs val="zero"/>
  </c:chart>
  <c:spPr>
    <a:solidFill>
      <a:srgbClr val="D99594"/>
    </a:solidFill>
    <a:ln>
      <a:noFill/>
    </a:ln>
  </c:spPr>
  <c:txPr>
    <a:bodyPr/>
    <a:lstStyle/>
    <a:p>
      <a:pPr>
        <a:defRPr sz="1801" b="1" i="0" u="none" strike="noStrike" baseline="0">
          <a:solidFill>
            <a:srgbClr val="000000"/>
          </a:solidFill>
          <a:latin typeface="Calibri"/>
          <a:ea typeface="Calibri"/>
          <a:cs typeface="Calibri"/>
        </a:defRPr>
      </a:pPr>
      <a:endParaRPr lang="uk-UA"/>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12</Pages>
  <Words>16206</Words>
  <Characters>9238</Characters>
  <Application>Microsoft Office Word</Application>
  <DocSecurity>0</DocSecurity>
  <Lines>76</Lines>
  <Paragraphs>50</Paragraphs>
  <ScaleCrop>false</ScaleCrop>
  <Company/>
  <LinksUpToDate>false</LinksUpToDate>
  <CharactersWithSpaces>25394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2023-05-08T11:37:00Z</dcterms:created>
  <dcterms:modified xsi:type="dcterms:W3CDTF">2023-05-08T11:39:00Z</dcterms:modified>
</cp:coreProperties>
</file>