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4" w:rsidRPr="0092093F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B4" w:rsidRPr="0092093F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E5AB4" w:rsidRPr="0092093F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E5AB4" w:rsidRPr="0092093F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E5AB4" w:rsidRPr="0092093F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E5AB4" w:rsidRPr="001813F7" w:rsidRDefault="005E5AB4" w:rsidP="005E5AB4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E5AB4" w:rsidRPr="00310ADB" w:rsidRDefault="005E5AB4" w:rsidP="005E5AB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Н Я №445</w:t>
      </w:r>
    </w:p>
    <w:p w:rsidR="005E5AB4" w:rsidRDefault="005E5AB4" w:rsidP="005E5AB4">
      <w:pPr>
        <w:rPr>
          <w:lang w:val="uk-UA"/>
        </w:rPr>
      </w:pPr>
    </w:p>
    <w:p w:rsidR="005E5AB4" w:rsidRPr="00CA5EEE" w:rsidRDefault="005E5AB4" w:rsidP="005E5AB4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5E5AB4" w:rsidRDefault="005E5AB4" w:rsidP="005E5AB4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E5AB4" w:rsidRDefault="005E5AB4" w:rsidP="005E5AB4">
      <w:pPr>
        <w:pStyle w:val="a4"/>
        <w:jc w:val="both"/>
        <w:rPr>
          <w:rStyle w:val="a3"/>
          <w:rFonts w:eastAsia="Calibri"/>
          <w:sz w:val="24"/>
          <w:szCs w:val="24"/>
          <w:lang w:val="uk-UA"/>
        </w:rPr>
      </w:pP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</w:rPr>
      </w:pPr>
      <w:r w:rsidRPr="00DF432D">
        <w:rPr>
          <w:b/>
        </w:rPr>
        <w:t>Про затвердження зві</w:t>
      </w:r>
      <w:proofErr w:type="gramStart"/>
      <w:r w:rsidRPr="00DF432D">
        <w:rPr>
          <w:b/>
        </w:rPr>
        <w:t>ту</w:t>
      </w:r>
      <w:proofErr w:type="gramEnd"/>
      <w:r w:rsidRPr="00DF432D">
        <w:rPr>
          <w:b/>
          <w:lang w:val="uk-UA"/>
        </w:rPr>
        <w:t xml:space="preserve"> </w:t>
      </w:r>
      <w:r w:rsidRPr="00DF432D">
        <w:rPr>
          <w:b/>
        </w:rPr>
        <w:t>про виконання</w:t>
      </w: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DF432D">
        <w:rPr>
          <w:b/>
        </w:rPr>
        <w:t xml:space="preserve">бюджету Верховинської </w:t>
      </w:r>
      <w:r w:rsidRPr="00DF432D">
        <w:rPr>
          <w:b/>
          <w:lang w:val="uk-UA"/>
        </w:rPr>
        <w:t xml:space="preserve">селищної </w:t>
      </w: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DF432D">
        <w:rPr>
          <w:b/>
          <w:lang w:val="uk-UA"/>
        </w:rPr>
        <w:t>територіальної громади за 2023 рік</w:t>
      </w: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  <w:lang w:val="uk-UA"/>
        </w:rPr>
      </w:pP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  <w:u w:val="single"/>
          <w:lang w:val="uk-UA"/>
        </w:rPr>
      </w:pPr>
      <w:r w:rsidRPr="00DF432D">
        <w:rPr>
          <w:b/>
          <w:u w:val="single"/>
          <w:lang w:val="uk-UA"/>
        </w:rPr>
        <w:t>0954300000</w:t>
      </w:r>
    </w:p>
    <w:p w:rsidR="005E5AB4" w:rsidRPr="00DF432D" w:rsidRDefault="005E5AB4" w:rsidP="005E5AB4">
      <w:pPr>
        <w:jc w:val="both"/>
        <w:rPr>
          <w:lang w:val="uk-UA" w:eastAsia="uk-UA"/>
        </w:rPr>
      </w:pPr>
      <w:r w:rsidRPr="00DF432D">
        <w:rPr>
          <w:lang w:val="uk-UA" w:eastAsia="uk-UA"/>
        </w:rPr>
        <w:t xml:space="preserve">       (код бюджету)</w:t>
      </w: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b/>
          <w:u w:val="single"/>
          <w:lang w:val="uk-UA" w:eastAsia="uk-UA"/>
        </w:rPr>
      </w:pPr>
    </w:p>
    <w:p w:rsidR="005E5AB4" w:rsidRPr="00DF432D" w:rsidRDefault="005E5AB4" w:rsidP="005E5AB4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5E5AB4" w:rsidRPr="00DF432D" w:rsidRDefault="005E5AB4" w:rsidP="005E5AB4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DF432D">
        <w:rPr>
          <w:lang w:val="uk-UA" w:eastAsia="uk-UA"/>
        </w:rPr>
        <w:t>Керуючись статтею 26 Закону України «Про місцеве самоврядування в Україні», Бюджетним кодексом України та Бюджетним регламентом Верховинської селищної ради, виконавчий комітет селищної ради</w:t>
      </w:r>
    </w:p>
    <w:p w:rsidR="005E5AB4" w:rsidRPr="00DF432D" w:rsidRDefault="005E5AB4" w:rsidP="005E5AB4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5E5AB4" w:rsidRPr="00D04554" w:rsidRDefault="005E5AB4" w:rsidP="005E5AB4">
      <w:pPr>
        <w:tabs>
          <w:tab w:val="left" w:pos="0"/>
        </w:tabs>
        <w:ind w:firstLine="709"/>
        <w:jc w:val="center"/>
        <w:rPr>
          <w:lang w:val="uk-UA"/>
        </w:rPr>
      </w:pPr>
      <w:r w:rsidRPr="00D04554">
        <w:t>ВИРІШИВ:</w:t>
      </w:r>
    </w:p>
    <w:p w:rsidR="005E5AB4" w:rsidRPr="00DF432D" w:rsidRDefault="005E5AB4" w:rsidP="005E5AB4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5E5AB4" w:rsidRPr="00DF432D" w:rsidRDefault="005E5AB4" w:rsidP="005E5AB4">
      <w:pPr>
        <w:ind w:firstLine="709"/>
        <w:jc w:val="both"/>
        <w:rPr>
          <w:lang w:val="uk-UA"/>
        </w:rPr>
      </w:pPr>
      <w:r w:rsidRPr="00DF432D">
        <w:rPr>
          <w:lang w:eastAsia="uk-UA"/>
        </w:rPr>
        <w:t xml:space="preserve">1. </w:t>
      </w:r>
      <w:r w:rsidRPr="00DF432D">
        <w:t>Затвердити звіт про виконання бюджету Верховинської селищної територіальної громади за 202</w:t>
      </w:r>
      <w:r w:rsidRPr="00DF432D">
        <w:rPr>
          <w:lang w:val="uk-UA"/>
        </w:rPr>
        <w:t>3</w:t>
      </w:r>
      <w:r w:rsidRPr="00DF432D">
        <w:t xml:space="preserve"> </w:t>
      </w:r>
      <w:proofErr w:type="gramStart"/>
      <w:r w:rsidRPr="00DF432D">
        <w:t>р</w:t>
      </w:r>
      <w:proofErr w:type="gramEnd"/>
      <w:r w:rsidRPr="00DF432D">
        <w:rPr>
          <w:lang w:val="uk-UA"/>
        </w:rPr>
        <w:t>і</w:t>
      </w:r>
      <w:r w:rsidRPr="00DF432D">
        <w:t xml:space="preserve">к, а саме: по доходах у сумі </w:t>
      </w:r>
      <w:r w:rsidRPr="00DF432D">
        <w:rPr>
          <w:lang w:val="uk-UA"/>
        </w:rPr>
        <w:t>261 149,1</w:t>
      </w:r>
      <w:r w:rsidRPr="00DF432D">
        <w:t xml:space="preserve"> тис. грн., у тому числі по загальному фонду </w:t>
      </w:r>
      <w:r w:rsidRPr="00DF432D">
        <w:rPr>
          <w:lang w:val="uk-UA"/>
        </w:rPr>
        <w:t>238 751,3</w:t>
      </w:r>
      <w:r w:rsidRPr="00DF432D">
        <w:t xml:space="preserve"> тис. грн., по спеціальному фонду   </w:t>
      </w:r>
      <w:r w:rsidRPr="00DF432D">
        <w:rPr>
          <w:lang w:val="uk-UA" w:eastAsia="uk-UA"/>
        </w:rPr>
        <w:t>22 397,8</w:t>
      </w:r>
      <w:r w:rsidRPr="00DF432D">
        <w:rPr>
          <w:lang w:eastAsia="uk-UA"/>
        </w:rPr>
        <w:t xml:space="preserve"> </w:t>
      </w:r>
      <w:r w:rsidRPr="00DF432D">
        <w:t xml:space="preserve">тис. грн.; по видатках у сумі </w:t>
      </w:r>
      <w:r w:rsidRPr="00DF432D">
        <w:rPr>
          <w:lang w:val="uk-UA"/>
        </w:rPr>
        <w:t xml:space="preserve">269 919,7 </w:t>
      </w:r>
      <w:r w:rsidRPr="00DF432D">
        <w:t xml:space="preserve">тис. грн., у тому числі по загальному фонду  </w:t>
      </w:r>
      <w:r w:rsidRPr="00DF432D">
        <w:rPr>
          <w:lang w:val="uk-UA"/>
        </w:rPr>
        <w:t>238 013,5 тис. грн., спеціальному  31 906,2 тис. грн.</w:t>
      </w:r>
    </w:p>
    <w:p w:rsidR="005E5AB4" w:rsidRPr="00DF432D" w:rsidRDefault="005E5AB4" w:rsidP="005E5AB4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432D">
        <w:rPr>
          <w:rFonts w:ascii="Times New Roman" w:hAnsi="Times New Roman"/>
          <w:sz w:val="24"/>
          <w:szCs w:val="24"/>
          <w:lang w:eastAsia="uk-UA"/>
        </w:rPr>
        <w:t>2. Контроль за виконанням цього рішення покласти на заступника селищного голови з питань діяльності виконавчих органів (Чубатько О.С.).</w:t>
      </w:r>
    </w:p>
    <w:p w:rsidR="005E5AB4" w:rsidRPr="00866679" w:rsidRDefault="005E5AB4" w:rsidP="005E5AB4">
      <w:pPr>
        <w:pStyle w:val="a4"/>
        <w:jc w:val="both"/>
        <w:rPr>
          <w:rStyle w:val="a3"/>
          <w:rFonts w:eastAsia="Calibri"/>
          <w:sz w:val="24"/>
          <w:szCs w:val="24"/>
          <w:lang w:val="uk-UA"/>
        </w:rPr>
      </w:pPr>
    </w:p>
    <w:p w:rsidR="005E5AB4" w:rsidRDefault="005E5AB4" w:rsidP="005E5AB4">
      <w:pPr>
        <w:ind w:firstLine="708"/>
        <w:jc w:val="both"/>
        <w:rPr>
          <w:b/>
          <w:lang w:val="uk-UA"/>
        </w:rPr>
      </w:pPr>
    </w:p>
    <w:p w:rsidR="005E5AB4" w:rsidRDefault="005E5AB4" w:rsidP="005E5AB4">
      <w:pPr>
        <w:ind w:firstLine="708"/>
        <w:jc w:val="both"/>
        <w:rPr>
          <w:b/>
          <w:lang w:val="uk-UA"/>
        </w:rPr>
      </w:pPr>
      <w:r w:rsidRPr="00F72531">
        <w:rPr>
          <w:b/>
        </w:rPr>
        <w:t>Селищний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5E5AB4" w:rsidRPr="00455570" w:rsidRDefault="005E5AB4" w:rsidP="005E5AB4">
      <w:pPr>
        <w:ind w:firstLine="708"/>
        <w:jc w:val="both"/>
        <w:rPr>
          <w:b/>
          <w:lang w:val="uk-UA"/>
        </w:rPr>
      </w:pPr>
    </w:p>
    <w:p w:rsidR="005E5AB4" w:rsidRDefault="005E5AB4" w:rsidP="005E5AB4">
      <w:pPr>
        <w:ind w:firstLine="708"/>
        <w:jc w:val="both"/>
        <w:rPr>
          <w:b/>
          <w:lang w:val="uk-UA"/>
        </w:rPr>
      </w:pPr>
      <w:r>
        <w:rPr>
          <w:b/>
        </w:rPr>
        <w:t xml:space="preserve">Секретар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Pr="00A40F64" w:rsidRDefault="005E5AB4" w:rsidP="005E5AB4">
      <w:pPr>
        <w:ind w:firstLine="5670"/>
        <w:jc w:val="both"/>
        <w:rPr>
          <w:b/>
          <w:bCs/>
        </w:rPr>
      </w:pPr>
      <w:r w:rsidRPr="00A40F64">
        <w:rPr>
          <w:b/>
          <w:bCs/>
        </w:rPr>
        <w:lastRenderedPageBreak/>
        <w:t>ЗАТВЕРДЖЕНО</w:t>
      </w:r>
    </w:p>
    <w:p w:rsidR="005E5AB4" w:rsidRPr="00A40F64" w:rsidRDefault="005E5AB4" w:rsidP="005E5AB4">
      <w:pPr>
        <w:autoSpaceDE w:val="0"/>
        <w:autoSpaceDN w:val="0"/>
        <w:adjustRightInd w:val="0"/>
        <w:ind w:left="5670"/>
        <w:rPr>
          <w:bCs/>
          <w:lang w:val="uk-UA"/>
        </w:rPr>
      </w:pPr>
      <w:proofErr w:type="gramStart"/>
      <w:r w:rsidRPr="00A40F64">
        <w:rPr>
          <w:bCs/>
        </w:rPr>
        <w:t>Р</w:t>
      </w:r>
      <w:proofErr w:type="gramEnd"/>
      <w:r w:rsidRPr="00A40F64">
        <w:rPr>
          <w:bCs/>
        </w:rPr>
        <w:t>ішенням виконавчого комітету</w:t>
      </w:r>
    </w:p>
    <w:p w:rsidR="005E5AB4" w:rsidRPr="00A40F64" w:rsidRDefault="005E5AB4" w:rsidP="005E5AB4">
      <w:pPr>
        <w:autoSpaceDE w:val="0"/>
        <w:autoSpaceDN w:val="0"/>
        <w:adjustRightInd w:val="0"/>
        <w:ind w:left="5670"/>
        <w:rPr>
          <w:bCs/>
          <w:lang w:val="uk-UA"/>
        </w:rPr>
      </w:pPr>
      <w:r w:rsidRPr="00A40F64">
        <w:rPr>
          <w:bCs/>
          <w:lang w:val="uk-UA"/>
        </w:rPr>
        <w:t>Верховинської селищної</w:t>
      </w:r>
      <w:r w:rsidRPr="00A40F64">
        <w:rPr>
          <w:bCs/>
        </w:rPr>
        <w:t xml:space="preserve"> ради</w:t>
      </w:r>
      <w:r w:rsidRPr="00A40F64">
        <w:rPr>
          <w:bCs/>
          <w:lang w:val="uk-UA"/>
        </w:rPr>
        <w:t xml:space="preserve"> </w:t>
      </w:r>
    </w:p>
    <w:p w:rsidR="005E5AB4" w:rsidRPr="00A40F64" w:rsidRDefault="005E5AB4" w:rsidP="005E5AB4">
      <w:pPr>
        <w:autoSpaceDE w:val="0"/>
        <w:autoSpaceDN w:val="0"/>
        <w:adjustRightInd w:val="0"/>
        <w:ind w:left="5670"/>
        <w:rPr>
          <w:bCs/>
          <w:lang w:val="uk-UA"/>
        </w:rPr>
      </w:pPr>
      <w:r w:rsidRPr="00A40F64">
        <w:rPr>
          <w:bCs/>
        </w:rPr>
        <w:t xml:space="preserve">від </w:t>
      </w:r>
      <w:r>
        <w:rPr>
          <w:bCs/>
          <w:lang w:val="uk-UA"/>
        </w:rPr>
        <w:t>12 січня</w:t>
      </w:r>
      <w:r w:rsidRPr="00A40F64">
        <w:rPr>
          <w:bCs/>
        </w:rPr>
        <w:t xml:space="preserve"> 202</w:t>
      </w:r>
      <w:r w:rsidRPr="00A40F64">
        <w:rPr>
          <w:bCs/>
          <w:lang w:val="uk-UA"/>
        </w:rPr>
        <w:t>4</w:t>
      </w:r>
      <w:r w:rsidRPr="00A40F64">
        <w:rPr>
          <w:bCs/>
        </w:rPr>
        <w:t xml:space="preserve"> року № </w:t>
      </w:r>
      <w:r>
        <w:rPr>
          <w:bCs/>
          <w:lang w:val="uk-UA"/>
        </w:rPr>
        <w:t>445</w:t>
      </w: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</w:rPr>
      </w:pPr>
      <w:r w:rsidRPr="00A40F64">
        <w:rPr>
          <w:b/>
          <w:bCs/>
        </w:rPr>
        <w:t>Інформація до звіту</w:t>
      </w:r>
      <w:r w:rsidRPr="00A40F64">
        <w:rPr>
          <w:b/>
          <w:bCs/>
          <w:lang w:val="uk-UA"/>
        </w:rPr>
        <w:t xml:space="preserve"> </w:t>
      </w:r>
      <w:r w:rsidRPr="00A40F64">
        <w:rPr>
          <w:b/>
          <w:bCs/>
        </w:rPr>
        <w:t xml:space="preserve">про виконання бюджету </w:t>
      </w:r>
    </w:p>
    <w:p w:rsidR="005E5AB4" w:rsidRPr="00A40F64" w:rsidRDefault="005E5AB4" w:rsidP="005E5AB4">
      <w:pPr>
        <w:ind w:right="-68"/>
        <w:jc w:val="center"/>
        <w:rPr>
          <w:b/>
          <w:lang w:val="uk-UA"/>
        </w:rPr>
      </w:pPr>
      <w:r w:rsidRPr="00A40F64">
        <w:rPr>
          <w:b/>
        </w:rPr>
        <w:t xml:space="preserve">Верховинської </w:t>
      </w:r>
      <w:r w:rsidRPr="00A40F64">
        <w:rPr>
          <w:b/>
          <w:lang w:val="uk-UA"/>
        </w:rPr>
        <w:t xml:space="preserve">селищної </w:t>
      </w:r>
      <w:r w:rsidRPr="00A40F64">
        <w:rPr>
          <w:b/>
        </w:rPr>
        <w:t>територіальної громади</w:t>
      </w:r>
      <w:r w:rsidRPr="00A40F64">
        <w:rPr>
          <w:b/>
          <w:lang w:val="uk-UA"/>
        </w:rPr>
        <w:t xml:space="preserve"> </w:t>
      </w:r>
      <w:r w:rsidRPr="00A40F64">
        <w:rPr>
          <w:b/>
        </w:rPr>
        <w:t>за 202</w:t>
      </w:r>
      <w:r w:rsidRPr="00A40F64">
        <w:rPr>
          <w:b/>
          <w:lang w:val="uk-UA"/>
        </w:rPr>
        <w:t>3</w:t>
      </w:r>
      <w:r w:rsidRPr="00A40F64">
        <w:rPr>
          <w:b/>
        </w:rPr>
        <w:t xml:space="preserve"> </w:t>
      </w:r>
      <w:proofErr w:type="gramStart"/>
      <w:r w:rsidRPr="00A40F64">
        <w:rPr>
          <w:b/>
        </w:rPr>
        <w:t>р</w:t>
      </w:r>
      <w:proofErr w:type="gramEnd"/>
      <w:r w:rsidRPr="00A40F64">
        <w:rPr>
          <w:b/>
          <w:lang w:val="uk-UA"/>
        </w:rPr>
        <w:t>і</w:t>
      </w:r>
      <w:r w:rsidRPr="00A40F64">
        <w:rPr>
          <w:b/>
        </w:rPr>
        <w:t>к.</w:t>
      </w: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5E5AB4" w:rsidRPr="00A40F64" w:rsidRDefault="005E5AB4" w:rsidP="005E5AB4">
      <w:pPr>
        <w:ind w:firstLine="567"/>
        <w:jc w:val="both"/>
        <w:rPr>
          <w:color w:val="000000"/>
          <w:spacing w:val="-6"/>
          <w:lang w:val="uk-UA"/>
        </w:rPr>
      </w:pPr>
      <w:r w:rsidRPr="00A40F64">
        <w:rPr>
          <w:lang w:val="uk-UA"/>
        </w:rPr>
        <w:t xml:space="preserve">Бюджет Верховинської селищної територіальної громади на 2023 рік затверджений рішенням Верховинської селищної ради ХХІІІ сесії </w:t>
      </w:r>
      <w:r w:rsidRPr="00A40F64">
        <w:rPr>
          <w:lang w:val="en-US"/>
        </w:rPr>
        <w:t>V</w:t>
      </w:r>
      <w:r w:rsidRPr="00A40F64">
        <w:rPr>
          <w:lang w:val="uk-UA"/>
        </w:rPr>
        <w:t xml:space="preserve">ІІІ скликання від 15 грудня 2022 року по доходах  та видатках в сумі 107 762,5 тис. грн. </w:t>
      </w:r>
      <w:r w:rsidRPr="00A40F64">
        <w:rPr>
          <w:color w:val="000000"/>
          <w:spacing w:val="-6"/>
          <w:lang w:val="uk-UA"/>
        </w:rPr>
        <w:t xml:space="preserve">Протягом року вносилися зміни до бюджету </w:t>
      </w:r>
      <w:r w:rsidRPr="00A40F64">
        <w:rPr>
          <w:lang w:val="uk-UA"/>
        </w:rPr>
        <w:t xml:space="preserve">Верховинської селищної територіальної громади </w:t>
      </w:r>
      <w:r w:rsidRPr="00A40F64">
        <w:rPr>
          <w:color w:val="000000"/>
          <w:spacing w:val="-6"/>
          <w:lang w:val="uk-UA"/>
        </w:rPr>
        <w:t>у зв’язку і</w:t>
      </w:r>
      <w:r w:rsidRPr="00A40F64">
        <w:rPr>
          <w:lang w:val="uk-UA"/>
        </w:rPr>
        <w:t xml:space="preserve">з внесенням змін в частині обсягів міжбюджетних трансфертів, збільшенням дохідної частини </w:t>
      </w:r>
      <w:r w:rsidRPr="00A40F64">
        <w:rPr>
          <w:color w:val="000000"/>
          <w:spacing w:val="-6"/>
          <w:lang w:val="uk-UA"/>
        </w:rPr>
        <w:t xml:space="preserve">бюджету </w:t>
      </w:r>
      <w:r w:rsidRPr="00A40F64">
        <w:rPr>
          <w:lang w:val="uk-UA"/>
        </w:rPr>
        <w:t>громади у зв’язку із перевиконанням</w:t>
      </w:r>
      <w:r w:rsidRPr="00A40F64">
        <w:rPr>
          <w:color w:val="000000"/>
          <w:spacing w:val="-6"/>
          <w:lang w:val="uk-UA"/>
        </w:rPr>
        <w:t>, спрямуванням вільних залишків коштів на початок року, а також необхідністю проведення розподілу і перерозподілу коштів селищного бюджету по окремих напрямах витрачання.</w:t>
      </w:r>
    </w:p>
    <w:p w:rsidR="005E5AB4" w:rsidRPr="00A40F64" w:rsidRDefault="005E5AB4" w:rsidP="005E5AB4">
      <w:pPr>
        <w:shd w:val="clear" w:color="auto" w:fill="FFFFFF"/>
        <w:spacing w:before="120" w:after="120"/>
        <w:ind w:firstLine="709"/>
        <w:jc w:val="both"/>
      </w:pPr>
      <w:r w:rsidRPr="00A40F64">
        <w:t>Військове вторгнення 24 лютого 2022</w:t>
      </w:r>
      <w:r w:rsidRPr="00A40F64">
        <w:rPr>
          <w:lang w:val="uk-UA"/>
        </w:rPr>
        <w:t xml:space="preserve"> </w:t>
      </w:r>
      <w:r w:rsidRPr="00A40F64">
        <w:t>року російської федерації на територію України та подальше розгортання бойових дій завдали удару українській економіці, що безумовно відобразилося на виконанні бюджетних показників за 202</w:t>
      </w:r>
      <w:r w:rsidRPr="00A40F64">
        <w:rPr>
          <w:lang w:val="uk-UA"/>
        </w:rPr>
        <w:t>3</w:t>
      </w:r>
      <w:r w:rsidRPr="00A40F64">
        <w:t xml:space="preserve"> </w:t>
      </w:r>
      <w:proofErr w:type="gramStart"/>
      <w:r w:rsidRPr="00A40F64">
        <w:t>р</w:t>
      </w:r>
      <w:proofErr w:type="gramEnd"/>
      <w:r w:rsidRPr="00A40F64">
        <w:rPr>
          <w:lang w:val="uk-UA"/>
        </w:rPr>
        <w:t>і</w:t>
      </w:r>
      <w:r w:rsidRPr="00A40F64">
        <w:t xml:space="preserve">к </w:t>
      </w:r>
      <w:r w:rsidRPr="00A40F64">
        <w:rPr>
          <w:lang w:val="uk-UA"/>
        </w:rPr>
        <w:t>Верховинської селищної територіальної громади</w:t>
      </w:r>
      <w:r w:rsidRPr="00A40F64">
        <w:t>.</w:t>
      </w:r>
    </w:p>
    <w:p w:rsidR="005E5AB4" w:rsidRPr="00A40F64" w:rsidRDefault="005E5AB4" w:rsidP="005E5AB4">
      <w:pPr>
        <w:autoSpaceDE w:val="0"/>
        <w:autoSpaceDN w:val="0"/>
        <w:adjustRightInd w:val="0"/>
        <w:ind w:firstLine="567"/>
        <w:jc w:val="both"/>
      </w:pPr>
      <w:r w:rsidRPr="00A40F64">
        <w:t xml:space="preserve">Обсяг виконання загального та спеціального фондів бюджету </w:t>
      </w:r>
      <w:r w:rsidRPr="00A40F64">
        <w:rPr>
          <w:lang w:val="uk-UA"/>
        </w:rPr>
        <w:t>Верховинської селищної територіальної громади</w:t>
      </w:r>
      <w:r w:rsidRPr="00A40F64">
        <w:t xml:space="preserve"> за 202</w:t>
      </w:r>
      <w:r w:rsidRPr="00A40F64">
        <w:rPr>
          <w:lang w:val="uk-UA"/>
        </w:rPr>
        <w:t>3</w:t>
      </w:r>
      <w:r w:rsidRPr="00A40F64">
        <w:t> </w:t>
      </w:r>
      <w:proofErr w:type="gramStart"/>
      <w:r w:rsidRPr="00A40F64">
        <w:t>р</w:t>
      </w:r>
      <w:proofErr w:type="gramEnd"/>
      <w:r w:rsidRPr="00A40F64">
        <w:rPr>
          <w:lang w:val="uk-UA"/>
        </w:rPr>
        <w:t>і</w:t>
      </w:r>
      <w:r w:rsidRPr="00A40F64">
        <w:t>к склад</w:t>
      </w:r>
      <w:r w:rsidRPr="00A40F64">
        <w:rPr>
          <w:lang w:val="uk-UA"/>
        </w:rPr>
        <w:t>ає</w:t>
      </w:r>
      <w:r w:rsidRPr="00A40F64">
        <w:t xml:space="preserve"> по доходах </w:t>
      </w:r>
      <w:r w:rsidRPr="00A40F64">
        <w:rPr>
          <w:lang w:val="uk-UA"/>
        </w:rPr>
        <w:t>261 149,1 тис.</w:t>
      </w:r>
      <w:r w:rsidRPr="00A40F64">
        <w:t xml:space="preserve"> грн, по видатках 269</w:t>
      </w:r>
      <w:r w:rsidRPr="00A40F64">
        <w:rPr>
          <w:lang w:val="en-US"/>
        </w:rPr>
        <w:t> </w:t>
      </w:r>
      <w:r w:rsidRPr="00A40F64">
        <w:t>919</w:t>
      </w:r>
      <w:r w:rsidRPr="00A40F64">
        <w:rPr>
          <w:lang w:val="uk-UA"/>
        </w:rPr>
        <w:t xml:space="preserve">,7 тис. </w:t>
      </w:r>
      <w:r w:rsidRPr="00A40F64">
        <w:t>грн.</w:t>
      </w:r>
    </w:p>
    <w:p w:rsidR="005E5AB4" w:rsidRPr="00A40F64" w:rsidRDefault="005E5AB4" w:rsidP="005E5AB4">
      <w:pPr>
        <w:autoSpaceDE w:val="0"/>
        <w:autoSpaceDN w:val="0"/>
        <w:adjustRightInd w:val="0"/>
        <w:ind w:firstLine="567"/>
        <w:jc w:val="both"/>
      </w:pPr>
      <w:r w:rsidRPr="00A40F64">
        <w:t xml:space="preserve">При уточненому плані </w:t>
      </w:r>
      <w:r w:rsidRPr="00A40F64">
        <w:rPr>
          <w:lang w:val="uk-UA"/>
        </w:rPr>
        <w:t>за звітний період по</w:t>
      </w:r>
      <w:r w:rsidRPr="00A40F64">
        <w:t xml:space="preserve"> доходах загального фонду </w:t>
      </w:r>
      <w:r w:rsidRPr="00A40F64">
        <w:rPr>
          <w:lang w:val="uk-UA"/>
        </w:rPr>
        <w:t>Верховинської селищної територіальної громади</w:t>
      </w:r>
      <w:r w:rsidRPr="00A40F64">
        <w:t xml:space="preserve"> </w:t>
      </w:r>
      <w:r w:rsidRPr="00A40F64">
        <w:rPr>
          <w:lang w:val="uk-UA"/>
        </w:rPr>
        <w:t>240 341,9</w:t>
      </w:r>
      <w:r w:rsidRPr="00A40F64">
        <w:t xml:space="preserve">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rPr>
          <w:lang w:val="uk-UA"/>
        </w:rPr>
        <w:t>г</w:t>
      </w:r>
      <w:proofErr w:type="gramEnd"/>
      <w:r w:rsidRPr="00A40F64">
        <w:rPr>
          <w:lang w:val="uk-UA"/>
        </w:rPr>
        <w:t xml:space="preserve">рн. </w:t>
      </w:r>
      <w:r w:rsidRPr="00A40F64">
        <w:t xml:space="preserve">фактично до бюджету надійшло </w:t>
      </w:r>
      <w:r w:rsidRPr="00A40F64">
        <w:rPr>
          <w:lang w:val="uk-UA"/>
        </w:rPr>
        <w:t>238 751,3</w:t>
      </w:r>
      <w:r w:rsidRPr="00A40F64">
        <w:t xml:space="preserve"> тис. грн, що становить </w:t>
      </w:r>
      <w:r w:rsidRPr="00A40F64">
        <w:rPr>
          <w:lang w:val="uk-UA"/>
        </w:rPr>
        <w:t>99,3</w:t>
      </w:r>
      <w:r w:rsidRPr="00A40F64">
        <w:t> відсотк</w:t>
      </w:r>
      <w:r w:rsidRPr="00A40F64">
        <w:rPr>
          <w:lang w:val="uk-UA"/>
        </w:rPr>
        <w:t>а</w:t>
      </w:r>
      <w:r w:rsidRPr="00A40F64">
        <w:t xml:space="preserve"> виконання (додаток №1).</w:t>
      </w:r>
    </w:p>
    <w:p w:rsidR="005E5AB4" w:rsidRPr="00A40F64" w:rsidRDefault="005E5AB4" w:rsidP="005E5AB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40F64">
        <w:t xml:space="preserve">При уточненому плані </w:t>
      </w:r>
      <w:r w:rsidRPr="00A40F64">
        <w:rPr>
          <w:lang w:val="uk-UA"/>
        </w:rPr>
        <w:t>за</w:t>
      </w:r>
      <w:r w:rsidRPr="00A40F64">
        <w:t xml:space="preserve"> 202</w:t>
      </w:r>
      <w:r w:rsidRPr="00A40F64">
        <w:rPr>
          <w:lang w:val="uk-UA"/>
        </w:rPr>
        <w:t>3</w:t>
      </w:r>
      <w:r w:rsidRPr="00A40F64">
        <w:t xml:space="preserve"> </w:t>
      </w:r>
      <w:proofErr w:type="gramStart"/>
      <w:r w:rsidRPr="00A40F64">
        <w:t>р</w:t>
      </w:r>
      <w:proofErr w:type="gramEnd"/>
      <w:r w:rsidRPr="00A40F64">
        <w:rPr>
          <w:lang w:val="uk-UA"/>
        </w:rPr>
        <w:t>і</w:t>
      </w:r>
      <w:r w:rsidRPr="00A40F64">
        <w:t xml:space="preserve">к по видатках загального фонду </w:t>
      </w:r>
      <w:r w:rsidRPr="00A40F64">
        <w:rPr>
          <w:lang w:val="uk-UA"/>
        </w:rPr>
        <w:t xml:space="preserve">240 880,4 тис. грн, </w:t>
      </w:r>
      <w:r w:rsidRPr="00A40F64">
        <w:t xml:space="preserve">фактично використано </w:t>
      </w:r>
      <w:r w:rsidRPr="00A40F64">
        <w:rPr>
          <w:lang w:val="uk-UA"/>
        </w:rPr>
        <w:t xml:space="preserve">238 013,5 тис. грн, </w:t>
      </w:r>
      <w:r w:rsidRPr="00A40F64">
        <w:t xml:space="preserve">що становить </w:t>
      </w:r>
      <w:r w:rsidRPr="00A40F64">
        <w:rPr>
          <w:lang w:val="uk-UA"/>
        </w:rPr>
        <w:t>98,8</w:t>
      </w:r>
      <w:r w:rsidRPr="00A40F64">
        <w:t xml:space="preserve"> відсотк</w:t>
      </w:r>
      <w:r w:rsidRPr="00A40F64">
        <w:rPr>
          <w:lang w:val="uk-UA"/>
        </w:rPr>
        <w:t>а</w:t>
      </w:r>
      <w:r w:rsidRPr="00A40F64">
        <w:t xml:space="preserve"> виконання (додаток №2).</w:t>
      </w:r>
    </w:p>
    <w:p w:rsidR="005E5AB4" w:rsidRPr="00A40F64" w:rsidRDefault="005E5AB4" w:rsidP="005E5AB4">
      <w:pPr>
        <w:tabs>
          <w:tab w:val="left" w:pos="567"/>
        </w:tabs>
        <w:ind w:firstLine="709"/>
        <w:jc w:val="both"/>
        <w:rPr>
          <w:lang w:val="uk-UA"/>
        </w:rPr>
      </w:pPr>
      <w:r w:rsidRPr="00A40F64">
        <w:rPr>
          <w:lang w:val="uk-UA"/>
        </w:rPr>
        <w:t>На виконання  запланованих протягом 2023 року окремих показників бюджету Верховинської селищної територіальної громади суттєво вплинули наступні фактори:</w:t>
      </w:r>
    </w:p>
    <w:p w:rsidR="005E5AB4" w:rsidRPr="00A40F64" w:rsidRDefault="005E5AB4" w:rsidP="005E5AB4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40F64">
        <w:rPr>
          <w:lang w:val="uk-UA"/>
        </w:rPr>
        <w:t>- введення воєнного стану на Україні на підставі Указу Президента України від 24 лютого 2022 року </w:t>
      </w:r>
      <w:hyperlink r:id="rId6" w:tgtFrame="_blank" w:history="1">
        <w:r w:rsidRPr="00A40F64">
          <w:rPr>
            <w:lang w:val="uk-UA"/>
          </w:rPr>
          <w:t>№ 64/2022 «Про введення воєнного стану в Україні»</w:t>
        </w:r>
      </w:hyperlink>
      <w:r w:rsidRPr="00A40F64">
        <w:rPr>
          <w:lang w:val="uk-UA"/>
        </w:rPr>
        <w:t xml:space="preserve">, </w:t>
      </w:r>
      <w:r w:rsidRPr="00A40F64">
        <w:rPr>
          <w:bdr w:val="none" w:sz="0" w:space="0" w:color="auto" w:frame="1"/>
          <w:shd w:val="clear" w:color="auto" w:fill="FFFFFF"/>
        </w:rPr>
        <w:t>який продовжено й дотепер</w:t>
      </w:r>
      <w:r w:rsidRPr="00A40F64">
        <w:rPr>
          <w:lang w:val="uk-UA"/>
        </w:rPr>
        <w:t>;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lang w:val="uk-UA"/>
        </w:rPr>
      </w:pPr>
      <w:r w:rsidRPr="00A40F64">
        <w:rPr>
          <w:lang w:val="uk-UA"/>
        </w:rPr>
        <w:t>- прийняття Верховною Радою України Закону України «Про внесення змін до Податкового кодексу України та інших законодавчих актів України щодо адміністрування окремих податків в період воєнного, надзвичайного стану» від 01 квітня 2022 року № 2173-IX, яким передбачено зняття обмеження щодо обсягу доходу для обрання єдиного податку третьої групи за ставкою 2 відсотки доходу;</w:t>
      </w:r>
    </w:p>
    <w:p w:rsidR="005E5AB4" w:rsidRPr="005712C4" w:rsidRDefault="005E5AB4" w:rsidP="005E5AB4">
      <w:pPr>
        <w:pStyle w:val="2"/>
        <w:shd w:val="clear" w:color="auto" w:fill="FFFFFF"/>
        <w:ind w:firstLine="709"/>
        <w:jc w:val="both"/>
        <w:textAlignment w:val="baseline"/>
        <w:rPr>
          <w:b w:val="0"/>
          <w:color w:val="auto"/>
          <w:sz w:val="24"/>
          <w:szCs w:val="24"/>
          <w:lang w:val="uk-UA"/>
        </w:rPr>
      </w:pPr>
      <w:r w:rsidRPr="00524BD2">
        <w:rPr>
          <w:b w:val="0"/>
          <w:sz w:val="24"/>
          <w:szCs w:val="24"/>
          <w:lang w:val="uk-UA"/>
        </w:rPr>
        <w:t xml:space="preserve">- </w:t>
      </w:r>
      <w:r w:rsidRPr="005712C4">
        <w:rPr>
          <w:b w:val="0"/>
          <w:color w:val="auto"/>
          <w:sz w:val="24"/>
          <w:szCs w:val="24"/>
          <w:lang w:val="uk-UA"/>
        </w:rPr>
        <w:t xml:space="preserve">прийняття Верховною Радою України Закону України  «Про внесення змін до розділу </w:t>
      </w:r>
      <w:r w:rsidRPr="005712C4">
        <w:rPr>
          <w:b w:val="0"/>
          <w:color w:val="auto"/>
          <w:sz w:val="24"/>
          <w:szCs w:val="24"/>
        </w:rPr>
        <w:t>VI</w:t>
      </w:r>
      <w:r w:rsidRPr="005712C4">
        <w:rPr>
          <w:b w:val="0"/>
          <w:color w:val="auto"/>
          <w:sz w:val="24"/>
          <w:szCs w:val="24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 №10037 на підставі якого здійснено вилучення  коштів до державного бюджету з надходжень за кодом класифікації доходів бюджету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агентами». </w:t>
      </w:r>
    </w:p>
    <w:p w:rsidR="005E5AB4" w:rsidRPr="00A40F64" w:rsidRDefault="005E5AB4" w:rsidP="005E5AB4">
      <w:pPr>
        <w:ind w:firstLine="709"/>
        <w:rPr>
          <w:lang w:val="uk-UA"/>
        </w:rPr>
      </w:pPr>
      <w:r w:rsidRPr="00A40F64">
        <w:rPr>
          <w:lang w:val="uk-UA"/>
        </w:rPr>
        <w:br w:type="page"/>
      </w:r>
    </w:p>
    <w:p w:rsidR="005E5AB4" w:rsidRPr="00A40F64" w:rsidRDefault="005E5AB4" w:rsidP="005E5AB4">
      <w:pPr>
        <w:tabs>
          <w:tab w:val="left" w:pos="720"/>
        </w:tabs>
        <w:ind w:firstLine="709"/>
        <w:jc w:val="center"/>
        <w:rPr>
          <w:b/>
          <w:i/>
          <w:color w:val="000000"/>
          <w:lang w:val="uk-UA"/>
        </w:rPr>
      </w:pPr>
      <w:r w:rsidRPr="00A40F64">
        <w:rPr>
          <w:b/>
          <w:i/>
          <w:color w:val="000000"/>
          <w:lang w:val="uk-UA"/>
        </w:rPr>
        <w:lastRenderedPageBreak/>
        <w:t>ДОХІДНА ЧАСТИНА БЮДЖЕТУ</w:t>
      </w:r>
    </w:p>
    <w:p w:rsidR="005E5AB4" w:rsidRPr="00A40F64" w:rsidRDefault="005E5AB4" w:rsidP="005E5AB4">
      <w:pPr>
        <w:tabs>
          <w:tab w:val="left" w:pos="720"/>
        </w:tabs>
        <w:ind w:firstLine="709"/>
        <w:jc w:val="center"/>
        <w:rPr>
          <w:b/>
          <w:i/>
          <w:color w:val="000000"/>
          <w:lang w:val="uk-UA"/>
        </w:rPr>
      </w:pPr>
    </w:p>
    <w:p w:rsidR="005E5AB4" w:rsidRPr="00A40F64" w:rsidRDefault="005E5AB4" w:rsidP="005E5AB4">
      <w:pPr>
        <w:ind w:firstLine="567"/>
        <w:jc w:val="both"/>
        <w:rPr>
          <w:color w:val="C00000"/>
          <w:lang w:val="uk-UA"/>
        </w:rPr>
      </w:pPr>
      <w:r w:rsidRPr="00A40F64">
        <w:rPr>
          <w:lang w:val="uk-UA"/>
        </w:rPr>
        <w:t xml:space="preserve">До </w:t>
      </w:r>
      <w:r w:rsidRPr="00A40F64">
        <w:rPr>
          <w:b/>
          <w:lang w:val="uk-UA"/>
        </w:rPr>
        <w:t>загального фонду</w:t>
      </w:r>
      <w:r w:rsidRPr="00A40F64">
        <w:rPr>
          <w:lang w:val="uk-UA"/>
        </w:rPr>
        <w:t xml:space="preserve"> бюджету селищної територіальної громади, з врахуванням офіційних трансфертів, за звітний рік надійшло 238 751,3 тис. грн, що становить 99,3 відсотка до уточнених показників (240 341,9 тис. грн).</w:t>
      </w:r>
      <w:r w:rsidRPr="00A40F64">
        <w:rPr>
          <w:color w:val="C00000"/>
          <w:lang w:val="uk-UA"/>
        </w:rPr>
        <w:t xml:space="preserve"> </w:t>
      </w:r>
      <w:r w:rsidRPr="00A40F64">
        <w:t xml:space="preserve">У порівнянні </w:t>
      </w:r>
      <w:r w:rsidRPr="00A40F64">
        <w:rPr>
          <w:shd w:val="clear" w:color="auto" w:fill="FFFFFF"/>
        </w:rPr>
        <w:t xml:space="preserve">з </w:t>
      </w:r>
      <w:r w:rsidRPr="00A40F64">
        <w:rPr>
          <w:shd w:val="clear" w:color="auto" w:fill="FFFFFF"/>
          <w:lang w:val="uk-UA"/>
        </w:rPr>
        <w:t xml:space="preserve">аналогічним періодом </w:t>
      </w:r>
      <w:r w:rsidRPr="00A40F64">
        <w:rPr>
          <w:shd w:val="clear" w:color="auto" w:fill="FFFFFF"/>
        </w:rPr>
        <w:t>20</w:t>
      </w:r>
      <w:r w:rsidRPr="00A40F64">
        <w:rPr>
          <w:shd w:val="clear" w:color="auto" w:fill="FFFFFF"/>
          <w:lang w:val="uk-UA"/>
        </w:rPr>
        <w:t>22</w:t>
      </w:r>
      <w:r w:rsidRPr="00A40F64">
        <w:rPr>
          <w:shd w:val="clear" w:color="auto" w:fill="FFFFFF"/>
        </w:rPr>
        <w:t xml:space="preserve"> рок</w:t>
      </w:r>
      <w:r w:rsidRPr="00A40F64">
        <w:rPr>
          <w:shd w:val="clear" w:color="auto" w:fill="FFFFFF"/>
          <w:lang w:val="uk-UA"/>
        </w:rPr>
        <w:t>у</w:t>
      </w:r>
      <w:r w:rsidRPr="00A40F64">
        <w:rPr>
          <w:shd w:val="clear" w:color="auto" w:fill="FFFFFF"/>
        </w:rPr>
        <w:t xml:space="preserve"> доходи зросли</w:t>
      </w:r>
      <w:r w:rsidRPr="00A40F64">
        <w:t xml:space="preserve"> на 19</w:t>
      </w:r>
      <w:r w:rsidRPr="00A40F64">
        <w:rPr>
          <w:lang w:val="en-US"/>
        </w:rPr>
        <w:t> </w:t>
      </w:r>
      <w:r w:rsidRPr="00A40F64">
        <w:t>825</w:t>
      </w:r>
      <w:r w:rsidRPr="00A40F64">
        <w:rPr>
          <w:lang w:val="uk-UA"/>
        </w:rPr>
        <w:t>,</w:t>
      </w:r>
      <w:r w:rsidRPr="00A40F64">
        <w:t>9</w:t>
      </w:r>
      <w:r w:rsidRPr="00A40F64">
        <w:rPr>
          <w:lang w:val="uk-UA"/>
        </w:rPr>
        <w:t xml:space="preserve"> </w:t>
      </w:r>
      <w:r w:rsidRPr="00A40F64">
        <w:t>тис</w:t>
      </w:r>
      <w:proofErr w:type="gramStart"/>
      <w:r w:rsidRPr="00A40F64">
        <w:t>.г</w:t>
      </w:r>
      <w:proofErr w:type="gramEnd"/>
      <w:r w:rsidRPr="00A40F64">
        <w:t>рн.</w:t>
      </w:r>
    </w:p>
    <w:p w:rsidR="005E5AB4" w:rsidRPr="00A40F64" w:rsidRDefault="005E5AB4" w:rsidP="005E5AB4">
      <w:pPr>
        <w:tabs>
          <w:tab w:val="left" w:pos="720"/>
        </w:tabs>
        <w:ind w:firstLine="709"/>
        <w:jc w:val="both"/>
      </w:pPr>
      <w:r w:rsidRPr="00A40F64">
        <w:t xml:space="preserve">Виконання податкових та неподаткових доходів (власних надходжень) загального фонду бюджету Верховинської </w:t>
      </w:r>
      <w:r w:rsidRPr="00A40F64">
        <w:rPr>
          <w:lang w:val="uk-UA"/>
        </w:rPr>
        <w:t xml:space="preserve">селищної </w:t>
      </w:r>
      <w:r w:rsidRPr="00A40F64">
        <w:t>територіальної громади за</w:t>
      </w:r>
      <w:r w:rsidRPr="00A40F64">
        <w:rPr>
          <w:lang w:val="uk-UA"/>
        </w:rPr>
        <w:t xml:space="preserve">  </w:t>
      </w:r>
      <w:r w:rsidRPr="00A40F64">
        <w:t>202</w:t>
      </w:r>
      <w:r w:rsidRPr="00A40F64">
        <w:rPr>
          <w:lang w:val="uk-UA"/>
        </w:rPr>
        <w:t>3</w:t>
      </w:r>
      <w:r w:rsidRPr="00A40F64">
        <w:t xml:space="preserve"> </w:t>
      </w:r>
      <w:proofErr w:type="gramStart"/>
      <w:r w:rsidRPr="00A40F64">
        <w:t>р</w:t>
      </w:r>
      <w:proofErr w:type="gramEnd"/>
      <w:r w:rsidRPr="00A40F64">
        <w:rPr>
          <w:lang w:val="uk-UA"/>
        </w:rPr>
        <w:t>і</w:t>
      </w:r>
      <w:r w:rsidRPr="00A40F64">
        <w:t xml:space="preserve">к становить </w:t>
      </w:r>
      <w:r w:rsidRPr="00A40F64">
        <w:rPr>
          <w:lang w:val="uk-UA"/>
        </w:rPr>
        <w:t xml:space="preserve">71 429,8 </w:t>
      </w:r>
      <w:r w:rsidRPr="00A40F64">
        <w:t xml:space="preserve"> тис. грн, що складає </w:t>
      </w:r>
      <w:r w:rsidRPr="00A40F64">
        <w:rPr>
          <w:lang w:val="uk-UA"/>
        </w:rPr>
        <w:t xml:space="preserve">97,9 </w:t>
      </w:r>
      <w:r w:rsidRPr="00A40F64">
        <w:t>% відсотк</w:t>
      </w:r>
      <w:r w:rsidRPr="00A40F64">
        <w:rPr>
          <w:lang w:val="uk-UA"/>
        </w:rPr>
        <w:t>а</w:t>
      </w:r>
      <w:r w:rsidRPr="00A40F64">
        <w:t xml:space="preserve"> до уточненого плану на вказаний період (уточнений план за період – </w:t>
      </w:r>
      <w:r w:rsidRPr="00A40F64">
        <w:rPr>
          <w:lang w:val="uk-UA"/>
        </w:rPr>
        <w:t>72 996,0</w:t>
      </w:r>
      <w:r w:rsidRPr="00A40F64">
        <w:t xml:space="preserve"> тис. грн). </w:t>
      </w:r>
    </w:p>
    <w:p w:rsidR="005E5AB4" w:rsidRPr="00A40F64" w:rsidRDefault="005E5AB4" w:rsidP="005E5AB4">
      <w:pPr>
        <w:ind w:firstLine="567"/>
        <w:jc w:val="both"/>
        <w:rPr>
          <w:color w:val="FF0000"/>
        </w:rPr>
      </w:pPr>
    </w:p>
    <w:p w:rsidR="005E5AB4" w:rsidRPr="00A40F64" w:rsidRDefault="005E5AB4" w:rsidP="005E5AB4">
      <w:pPr>
        <w:tabs>
          <w:tab w:val="left" w:pos="720"/>
        </w:tabs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>Структура доходів загального фонду бюджету громади</w:t>
      </w:r>
    </w:p>
    <w:p w:rsidR="005E5AB4" w:rsidRPr="00A40F64" w:rsidRDefault="005E5AB4" w:rsidP="005E5AB4">
      <w:pPr>
        <w:tabs>
          <w:tab w:val="left" w:pos="720"/>
        </w:tabs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>з офіційними трансфертами за 2023 рік</w:t>
      </w:r>
    </w:p>
    <w:p w:rsidR="005E5AB4" w:rsidRPr="00A40F64" w:rsidRDefault="005E5AB4" w:rsidP="005E5AB4">
      <w:pPr>
        <w:tabs>
          <w:tab w:val="left" w:pos="720"/>
          <w:tab w:val="left" w:pos="4632"/>
          <w:tab w:val="center" w:pos="5244"/>
        </w:tabs>
        <w:ind w:firstLine="709"/>
        <w:rPr>
          <w:lang w:val="uk-UA"/>
        </w:rPr>
      </w:pPr>
      <w:r w:rsidRPr="00A40F64">
        <w:rPr>
          <w:lang w:val="uk-UA"/>
        </w:rPr>
        <w:tab/>
      </w:r>
      <w:r w:rsidRPr="00A40F64">
        <w:rPr>
          <w:lang w:val="uk-UA"/>
        </w:rPr>
        <w:tab/>
        <w:t xml:space="preserve">                                                              </w:t>
      </w:r>
      <w:r w:rsidRPr="00A40F64">
        <w:rPr>
          <w:lang w:val="uk-UA"/>
        </w:rPr>
        <w:tab/>
        <w:t>тис. грн</w:t>
      </w:r>
    </w:p>
    <w:p w:rsidR="005E5AB4" w:rsidRPr="00A40F64" w:rsidRDefault="005E5AB4" w:rsidP="005E5AB4">
      <w:pPr>
        <w:tabs>
          <w:tab w:val="left" w:pos="720"/>
          <w:tab w:val="left" w:pos="4632"/>
          <w:tab w:val="center" w:pos="5244"/>
        </w:tabs>
        <w:ind w:firstLine="709"/>
        <w:rPr>
          <w:lang w:val="uk-UA"/>
        </w:rPr>
      </w:pPr>
    </w:p>
    <w:p w:rsidR="005E5AB4" w:rsidRPr="00A40F64" w:rsidRDefault="005E5AB4" w:rsidP="005E5AB4">
      <w:pPr>
        <w:tabs>
          <w:tab w:val="left" w:pos="720"/>
          <w:tab w:val="left" w:pos="4632"/>
          <w:tab w:val="center" w:pos="5244"/>
        </w:tabs>
        <w:rPr>
          <w:noProof/>
          <w:color w:val="FF0000"/>
          <w:lang w:val="uk-UA" w:eastAsia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029325" cy="2381250"/>
            <wp:effectExtent l="3810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5AB4" w:rsidRPr="00A40F64" w:rsidRDefault="005E5AB4" w:rsidP="005E5AB4">
      <w:pPr>
        <w:tabs>
          <w:tab w:val="left" w:pos="720"/>
          <w:tab w:val="left" w:pos="4632"/>
          <w:tab w:val="center" w:pos="5244"/>
        </w:tabs>
        <w:rPr>
          <w:noProof/>
          <w:color w:val="FF0000"/>
          <w:lang w:val="uk-UA" w:eastAsia="uk-UA"/>
        </w:rPr>
      </w:pPr>
    </w:p>
    <w:p w:rsidR="005E5AB4" w:rsidRPr="00A40F64" w:rsidRDefault="005E5AB4" w:rsidP="005E5AB4">
      <w:pPr>
        <w:tabs>
          <w:tab w:val="left" w:pos="720"/>
        </w:tabs>
        <w:jc w:val="both"/>
        <w:rPr>
          <w:color w:val="FF0000"/>
          <w:lang w:val="uk-UA"/>
        </w:rPr>
      </w:pPr>
      <w:r w:rsidRPr="00A40F64">
        <w:rPr>
          <w:color w:val="FF0000"/>
          <w:lang w:val="uk-UA"/>
        </w:rPr>
        <w:tab/>
      </w:r>
    </w:p>
    <w:p w:rsidR="005E5AB4" w:rsidRPr="00A40F64" w:rsidRDefault="005E5AB4" w:rsidP="005E5AB4">
      <w:pPr>
        <w:tabs>
          <w:tab w:val="left" w:pos="720"/>
        </w:tabs>
        <w:jc w:val="center"/>
        <w:rPr>
          <w:b/>
          <w:lang w:val="uk-UA"/>
        </w:rPr>
      </w:pPr>
      <w:r w:rsidRPr="00A40F64">
        <w:rPr>
          <w:b/>
          <w:lang w:val="uk-UA"/>
        </w:rPr>
        <w:t>Порівняльний аналіз власних надходжень бюджету громади</w:t>
      </w:r>
    </w:p>
    <w:p w:rsidR="005E5AB4" w:rsidRPr="00A40F64" w:rsidRDefault="005E5AB4" w:rsidP="005E5AB4">
      <w:pPr>
        <w:tabs>
          <w:tab w:val="left" w:pos="720"/>
        </w:tabs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>за 2022-2023 роки</w:t>
      </w:r>
    </w:p>
    <w:p w:rsidR="005E5AB4" w:rsidRPr="00A40F64" w:rsidRDefault="005E5AB4" w:rsidP="005E5AB4">
      <w:pPr>
        <w:tabs>
          <w:tab w:val="left" w:pos="0"/>
          <w:tab w:val="left" w:pos="8496"/>
        </w:tabs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             </w:t>
      </w:r>
      <w:r w:rsidRPr="00A40F64">
        <w:rPr>
          <w:lang w:val="uk-UA"/>
        </w:rPr>
        <w:tab/>
        <w:t>тис. грн</w:t>
      </w:r>
    </w:p>
    <w:p w:rsidR="005E5AB4" w:rsidRPr="00A40F64" w:rsidRDefault="005E5AB4" w:rsidP="005E5AB4">
      <w:pPr>
        <w:tabs>
          <w:tab w:val="left" w:pos="0"/>
          <w:tab w:val="left" w:pos="8496"/>
        </w:tabs>
        <w:ind w:firstLine="709"/>
        <w:jc w:val="both"/>
        <w:rPr>
          <w:lang w:val="uk-UA"/>
        </w:rPr>
      </w:pPr>
    </w:p>
    <w:p w:rsidR="005E5AB4" w:rsidRPr="00A40F64" w:rsidRDefault="005E5AB4" w:rsidP="005E5AB4">
      <w:pPr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229350" cy="2524125"/>
            <wp:effectExtent l="0" t="0" r="0" b="0"/>
            <wp:docPr id="2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40F64">
        <w:rPr>
          <w:color w:val="FF0000"/>
          <w:lang w:val="uk-UA"/>
        </w:rPr>
        <w:br w:type="page"/>
      </w:r>
    </w:p>
    <w:p w:rsidR="005E5AB4" w:rsidRPr="00A40F64" w:rsidRDefault="005E5AB4" w:rsidP="005E5AB4">
      <w:pPr>
        <w:tabs>
          <w:tab w:val="left" w:pos="0"/>
          <w:tab w:val="left" w:pos="8496"/>
        </w:tabs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0"/>
        </w:tabs>
        <w:ind w:firstLine="709"/>
        <w:jc w:val="both"/>
        <w:rPr>
          <w:lang w:val="uk-UA"/>
        </w:rPr>
      </w:pPr>
      <w:r w:rsidRPr="00A40F64">
        <w:rPr>
          <w:lang w:val="uk-UA"/>
        </w:rPr>
        <w:t>Як свідчить</w:t>
      </w:r>
      <w:r w:rsidRPr="00A40F64">
        <w:rPr>
          <w:b/>
          <w:lang w:val="uk-UA"/>
        </w:rPr>
        <w:t xml:space="preserve"> </w:t>
      </w:r>
      <w:r w:rsidRPr="00A40F64">
        <w:rPr>
          <w:lang w:val="uk-UA"/>
        </w:rPr>
        <w:t xml:space="preserve">динаміка надходжень до загального фонду бюджету Верховинської селищної територіальної громади (податкові та неподаткові надходження) </w:t>
      </w:r>
      <w:r w:rsidRPr="00A40F64">
        <w:rPr>
          <w:b/>
          <w:lang w:val="uk-UA"/>
        </w:rPr>
        <w:t>найбільш вагомим дохідним джерелом його наповнення є податок на доходи з фізичних осіб</w:t>
      </w:r>
      <w:r w:rsidRPr="00A40F64">
        <w:rPr>
          <w:lang w:val="uk-UA"/>
        </w:rPr>
        <w:t>, за рахунок якого  сформовано 70,5 відсотка ресурсів загального фонду (власних надходжень) або 50 356,4 тис. грн.</w:t>
      </w:r>
    </w:p>
    <w:p w:rsidR="005E5AB4" w:rsidRPr="00A40F64" w:rsidRDefault="005E5AB4" w:rsidP="005E5AB4">
      <w:pPr>
        <w:ind w:firstLine="709"/>
        <w:jc w:val="both"/>
      </w:pPr>
      <w:r w:rsidRPr="00A40F64">
        <w:t>Структура зарахування податку на доходи фізичних осіб в розрізі його окремих складових за 202</w:t>
      </w:r>
      <w:r w:rsidRPr="00A40F64">
        <w:rPr>
          <w:lang w:val="uk-UA"/>
        </w:rPr>
        <w:t>3</w:t>
      </w:r>
      <w:r w:rsidRPr="00A40F64">
        <w:t xml:space="preserve"> </w:t>
      </w:r>
      <w:proofErr w:type="gramStart"/>
      <w:r w:rsidRPr="00A40F64">
        <w:t>р</w:t>
      </w:r>
      <w:proofErr w:type="gramEnd"/>
      <w:r w:rsidRPr="00A40F64">
        <w:rPr>
          <w:lang w:val="uk-UA"/>
        </w:rPr>
        <w:t>і</w:t>
      </w:r>
      <w:r w:rsidRPr="00A40F64">
        <w:t>к (за відповідний період 202</w:t>
      </w:r>
      <w:r w:rsidRPr="00A40F64">
        <w:rPr>
          <w:lang w:val="uk-UA"/>
        </w:rPr>
        <w:t>2</w:t>
      </w:r>
      <w:r w:rsidRPr="00A40F64">
        <w:t xml:space="preserve"> року): </w:t>
      </w:r>
    </w:p>
    <w:p w:rsidR="005E5AB4" w:rsidRPr="00A40F64" w:rsidRDefault="005E5AB4" w:rsidP="005E5AB4">
      <w:pPr>
        <w:numPr>
          <w:ilvl w:val="0"/>
          <w:numId w:val="7"/>
        </w:numPr>
        <w:ind w:left="0" w:firstLine="709"/>
        <w:jc w:val="both"/>
      </w:pPr>
      <w:r w:rsidRPr="00A40F64">
        <w:rPr>
          <w:lang w:val="uk-UA"/>
        </w:rPr>
        <w:t xml:space="preserve">податок, що сплачується </w:t>
      </w:r>
      <w:r w:rsidRPr="00A40F64">
        <w:t xml:space="preserve">податковими агентами, із доходів платника податку у вигляді заробітної плати – </w:t>
      </w:r>
      <w:r w:rsidRPr="00A40F64">
        <w:rPr>
          <w:lang w:val="uk-UA"/>
        </w:rPr>
        <w:t>85,6</w:t>
      </w:r>
      <w:r w:rsidRPr="00A40F64">
        <w:t xml:space="preserve"> (</w:t>
      </w:r>
      <w:r w:rsidRPr="00A40F64">
        <w:rPr>
          <w:lang w:val="uk-UA"/>
        </w:rPr>
        <w:t>76,6) відсотки;</w:t>
      </w:r>
      <w:r w:rsidRPr="00A40F64">
        <w:t xml:space="preserve"> </w:t>
      </w:r>
    </w:p>
    <w:p w:rsidR="005E5AB4" w:rsidRPr="00A40F64" w:rsidRDefault="005E5AB4" w:rsidP="005E5AB4">
      <w:pPr>
        <w:numPr>
          <w:ilvl w:val="0"/>
          <w:numId w:val="7"/>
        </w:numPr>
        <w:ind w:left="0" w:firstLine="709"/>
        <w:jc w:val="both"/>
      </w:pPr>
      <w:r w:rsidRPr="00A40F64">
        <w:rPr>
          <w:lang w:val="uk-UA" w:eastAsia="uk-UA"/>
        </w:rPr>
        <w:t>п</w:t>
      </w:r>
      <w:r w:rsidRPr="00A40F64">
        <w:rPr>
          <w:lang w:eastAsia="uk-UA"/>
        </w:rPr>
        <w:t>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 w:rsidRPr="00A40F64">
        <w:rPr>
          <w:lang w:val="uk-UA" w:eastAsia="uk-UA"/>
        </w:rPr>
        <w:t xml:space="preserve"> </w:t>
      </w:r>
      <w:r w:rsidRPr="00A40F64">
        <w:t xml:space="preserve">– </w:t>
      </w:r>
      <w:r w:rsidRPr="00A40F64">
        <w:rPr>
          <w:lang w:val="uk-UA"/>
        </w:rPr>
        <w:t xml:space="preserve">13,1 </w:t>
      </w:r>
      <w:r w:rsidRPr="00A40F64">
        <w:t xml:space="preserve"> (</w:t>
      </w:r>
      <w:r w:rsidRPr="00A40F64">
        <w:rPr>
          <w:lang w:val="uk-UA"/>
        </w:rPr>
        <w:t>22,2) відсотки;</w:t>
      </w:r>
    </w:p>
    <w:p w:rsidR="005E5AB4" w:rsidRPr="00A40F64" w:rsidRDefault="005E5AB4" w:rsidP="005E5AB4">
      <w:pPr>
        <w:numPr>
          <w:ilvl w:val="0"/>
          <w:numId w:val="7"/>
        </w:numPr>
        <w:ind w:left="0" w:firstLine="709"/>
        <w:jc w:val="both"/>
      </w:pPr>
      <w:r w:rsidRPr="00A40F64">
        <w:t xml:space="preserve"> </w:t>
      </w:r>
      <w:r w:rsidRPr="00A40F64">
        <w:rPr>
          <w:lang w:val="uk-UA" w:eastAsia="uk-UA"/>
        </w:rPr>
        <w:t>п</w:t>
      </w:r>
      <w:r w:rsidRPr="00A40F64">
        <w:rPr>
          <w:lang w:eastAsia="uk-UA"/>
        </w:rPr>
        <w:t>одаток на доходи фізичних осіб, що сплачується податковими агентами, із доходів платника податку інших ніж заробітна плата</w:t>
      </w:r>
      <w:r w:rsidRPr="00A40F64">
        <w:rPr>
          <w:lang w:val="uk-UA" w:eastAsia="uk-UA"/>
        </w:rPr>
        <w:t xml:space="preserve"> </w:t>
      </w:r>
      <w:r w:rsidRPr="00A40F64">
        <w:t>– 0,</w:t>
      </w:r>
      <w:r w:rsidRPr="00A40F64">
        <w:rPr>
          <w:lang w:val="uk-UA"/>
        </w:rPr>
        <w:t>3</w:t>
      </w:r>
      <w:r w:rsidRPr="00A40F64">
        <w:t xml:space="preserve"> (0,</w:t>
      </w:r>
      <w:r w:rsidRPr="00A40F64">
        <w:rPr>
          <w:lang w:val="uk-UA"/>
        </w:rPr>
        <w:t>3) відсотки;</w:t>
      </w:r>
    </w:p>
    <w:p w:rsidR="005E5AB4" w:rsidRPr="00A40F64" w:rsidRDefault="005E5AB4" w:rsidP="005E5AB4">
      <w:pPr>
        <w:numPr>
          <w:ilvl w:val="0"/>
          <w:numId w:val="7"/>
        </w:numPr>
        <w:ind w:left="0" w:firstLine="709"/>
        <w:jc w:val="both"/>
      </w:pPr>
      <w:r w:rsidRPr="00A40F64">
        <w:rPr>
          <w:lang w:val="uk-UA" w:eastAsia="uk-UA"/>
        </w:rPr>
        <w:t>п</w:t>
      </w:r>
      <w:r w:rsidRPr="00A40F64">
        <w:rPr>
          <w:lang w:eastAsia="uk-UA"/>
        </w:rPr>
        <w:t>одаток на доходи фізичних осіб, що сплачується фізичними особами за результатами річного декларування</w:t>
      </w:r>
      <w:r w:rsidRPr="00A40F64">
        <w:rPr>
          <w:lang w:val="uk-UA" w:eastAsia="uk-UA"/>
        </w:rPr>
        <w:t xml:space="preserve"> </w:t>
      </w:r>
      <w:r w:rsidRPr="00A40F64">
        <w:t xml:space="preserve">– </w:t>
      </w:r>
      <w:r w:rsidRPr="00A40F64">
        <w:rPr>
          <w:lang w:val="uk-UA"/>
        </w:rPr>
        <w:t>1,0</w:t>
      </w:r>
      <w:r w:rsidRPr="00A40F64">
        <w:t xml:space="preserve"> (</w:t>
      </w:r>
      <w:r w:rsidRPr="00A40F64">
        <w:rPr>
          <w:lang w:val="uk-UA"/>
        </w:rPr>
        <w:t>0,9) відсотки</w:t>
      </w:r>
      <w:r w:rsidRPr="00A40F64">
        <w:t xml:space="preserve">. </w:t>
      </w:r>
    </w:p>
    <w:p w:rsidR="005E5AB4" w:rsidRPr="00A40F64" w:rsidRDefault="005E5AB4" w:rsidP="005E5AB4">
      <w:pPr>
        <w:tabs>
          <w:tab w:val="left" w:pos="720"/>
        </w:tabs>
        <w:spacing w:after="120"/>
        <w:ind w:firstLine="709"/>
        <w:jc w:val="both"/>
        <w:rPr>
          <w:lang w:val="uk-UA"/>
        </w:rPr>
      </w:pPr>
      <w:r w:rsidRPr="00A40F64">
        <w:t xml:space="preserve">У порівнянні з аналогічним періодом минулого року спостерігається </w:t>
      </w:r>
      <w:r w:rsidRPr="00A40F64">
        <w:rPr>
          <w:lang w:val="uk-UA"/>
        </w:rPr>
        <w:t xml:space="preserve">зменшення </w:t>
      </w:r>
      <w:r w:rsidRPr="00A40F64">
        <w:t xml:space="preserve">надходжень </w:t>
      </w:r>
      <w:r w:rsidRPr="00A40F64">
        <w:rPr>
          <w:lang w:val="uk-UA"/>
        </w:rPr>
        <w:t>ПДФО</w:t>
      </w:r>
      <w:r w:rsidRPr="00A40F64">
        <w:t xml:space="preserve"> </w:t>
      </w:r>
      <w:r w:rsidRPr="00A40F64">
        <w:rPr>
          <w:lang w:val="uk-UA"/>
        </w:rPr>
        <w:t>на 2 314,3</w:t>
      </w:r>
      <w:r w:rsidRPr="00A40F64">
        <w:t xml:space="preserve">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</w:t>
      </w:r>
      <w:r w:rsidRPr="00A40F64">
        <w:rPr>
          <w:lang w:val="uk-UA"/>
        </w:rPr>
        <w:t xml:space="preserve"> або на 4,6 відсотка, оскільки у 4 кварталі звітного року здійснено вилучення «військового» ПДФО до державного бюджету в сумі 2 013,9 тис. грн.</w:t>
      </w:r>
    </w:p>
    <w:p w:rsidR="005E5AB4" w:rsidRPr="00A40F64" w:rsidRDefault="005E5AB4" w:rsidP="005E5AB4">
      <w:pPr>
        <w:tabs>
          <w:tab w:val="left" w:pos="720"/>
        </w:tabs>
        <w:spacing w:after="120"/>
        <w:ind w:firstLine="709"/>
        <w:jc w:val="both"/>
        <w:rPr>
          <w:lang w:val="uk-UA"/>
        </w:rPr>
      </w:pPr>
      <w:r w:rsidRPr="00A40F64">
        <w:rPr>
          <w:lang w:val="uk-UA"/>
        </w:rPr>
        <w:t>Найбільшими платниками ПДФО по  юридичних особах є: відділ освіти, молоді та спорту селищної ради – 15 557,2 тис. грн, КНП Верховинська багатопрофільна лікарня -  6 751,5 тис. грн, ОТЦК СП (військкомат) – 3</w:t>
      </w:r>
      <w:r w:rsidRPr="00A40F64">
        <w:rPr>
          <w:lang w:val="en-US"/>
        </w:rPr>
        <w:t> </w:t>
      </w:r>
      <w:r w:rsidRPr="00A40F64">
        <w:rPr>
          <w:lang w:val="uk-UA"/>
        </w:rPr>
        <w:t>094,2 тис. грн, ДСГП  «Ліси України» Філія «Верховинське ЛГ» – 2 339,5 тис. грн, ГУ НП в Івано-Франківській області  - 2 204,8  тис. грн, 12 ДПРЧ ГУ  ДСНС України в Івано-Франківській області - 1 902,8  тис. грн.</w:t>
      </w: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Найбільшими платниками з фізичних осіб є: ФОП Кандюк Л.В. – 217,7 тис. грн, ФОП Баран В.В. – 184,0 тис. грн, ФОП Магнич В.М. – 127,0 тис. грн, ФОП Зеленчук І.М. – 65,4 тис. грн. </w:t>
      </w: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lang w:val="uk-UA"/>
        </w:rPr>
      </w:pPr>
      <w:r w:rsidRPr="00A40F64">
        <w:rPr>
          <w:b/>
          <w:lang w:val="uk-UA"/>
        </w:rPr>
        <w:t>Податку на прибуток підприємств та фінансових установ комунальної власності</w:t>
      </w:r>
      <w:r w:rsidRPr="00A40F64">
        <w:t> </w:t>
      </w:r>
      <w:r w:rsidRPr="00A40F64">
        <w:rPr>
          <w:lang w:val="uk-UA"/>
        </w:rPr>
        <w:t xml:space="preserve"> надійшло 0,3 тис. грн. Платниками даного податку є Верховинське водопровідно - каналізаційне підприємство та КП «Голівчанка». За відповідний період 2022 року даного податку надійшло 0,5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 xml:space="preserve">Місцеві податки та збори, що сплачуються (перераховуються) згідно з Податковим кодексом України </w:t>
      </w:r>
      <w:r w:rsidRPr="00A40F64">
        <w:rPr>
          <w:lang w:val="uk-UA"/>
        </w:rPr>
        <w:t>посідають друге місце за обсягами надходжень до бюджету громади, поступаючись податку на доходи фізичних осіб і питома вага яких складає</w:t>
      </w:r>
      <w:r w:rsidRPr="00A40F64">
        <w:t> </w:t>
      </w:r>
      <w:r w:rsidRPr="00A40F64">
        <w:rPr>
          <w:lang w:val="uk-UA"/>
        </w:rPr>
        <w:t xml:space="preserve">19,4 відсотка власних надходжень. </w:t>
      </w:r>
    </w:p>
    <w:p w:rsidR="005E5AB4" w:rsidRPr="00A40F64" w:rsidRDefault="005E5AB4" w:rsidP="005E5AB4">
      <w:pPr>
        <w:ind w:firstLine="709"/>
        <w:jc w:val="both"/>
        <w:rPr>
          <w:b/>
          <w:i/>
          <w:u w:val="single"/>
          <w:lang w:val="uk-UA" w:eastAsia="uk-UA"/>
        </w:rPr>
      </w:pPr>
      <w:r w:rsidRPr="00A40F64">
        <w:t xml:space="preserve">Фактичний обсяг їх надходжень в звітному періоді становить </w:t>
      </w:r>
      <w:r w:rsidRPr="00A40F64">
        <w:rPr>
          <w:lang w:val="uk-UA"/>
        </w:rPr>
        <w:t>13 887,6</w:t>
      </w:r>
      <w:r w:rsidRPr="00A40F64">
        <w:t> тис</w:t>
      </w:r>
      <w:proofErr w:type="gramStart"/>
      <w:r w:rsidRPr="00A40F64">
        <w:t>.</w:t>
      </w:r>
      <w:proofErr w:type="gramEnd"/>
      <w:r w:rsidRPr="00A40F64">
        <w:t> </w:t>
      </w:r>
      <w:proofErr w:type="gramStart"/>
      <w:r w:rsidRPr="00A40F64">
        <w:t>г</w:t>
      </w:r>
      <w:proofErr w:type="gramEnd"/>
      <w:r w:rsidRPr="00A40F64">
        <w:t xml:space="preserve">рн, або </w:t>
      </w:r>
      <w:r w:rsidRPr="00A40F64">
        <w:rPr>
          <w:lang w:val="uk-UA"/>
        </w:rPr>
        <w:t>118,8 відсотка</w:t>
      </w:r>
      <w:r w:rsidRPr="00A40F64">
        <w:t xml:space="preserve"> уточненого плану </w:t>
      </w:r>
      <w:r w:rsidRPr="00A40F64">
        <w:rPr>
          <w:lang w:val="uk-UA"/>
        </w:rPr>
        <w:t xml:space="preserve">на </w:t>
      </w:r>
      <w:r w:rsidRPr="00A40F64">
        <w:t>202</w:t>
      </w:r>
      <w:r w:rsidRPr="00A40F64">
        <w:rPr>
          <w:lang w:val="uk-UA"/>
        </w:rPr>
        <w:t>3</w:t>
      </w:r>
      <w:r w:rsidRPr="00A40F64">
        <w:t xml:space="preserve"> року (уточнений план за період – </w:t>
      </w:r>
      <w:r w:rsidRPr="00A40F64">
        <w:rPr>
          <w:lang w:val="uk-UA"/>
        </w:rPr>
        <w:t>11 688,2</w:t>
      </w:r>
      <w:r w:rsidRPr="00A40F64">
        <w:t xml:space="preserve"> тис. грн). </w:t>
      </w:r>
      <w:r w:rsidRPr="00A40F64">
        <w:rPr>
          <w:lang w:eastAsia="uk-UA"/>
        </w:rPr>
        <w:t xml:space="preserve">У порівнянні з аналогічним періодом   минулого  року  надходження збільшились на суму </w:t>
      </w:r>
      <w:r w:rsidRPr="00A40F64">
        <w:rPr>
          <w:lang w:val="uk-UA" w:eastAsia="uk-UA"/>
        </w:rPr>
        <w:t>3 178,8</w:t>
      </w:r>
      <w:r w:rsidRPr="00A40F64">
        <w:rPr>
          <w:lang w:eastAsia="uk-UA"/>
        </w:rPr>
        <w:t xml:space="preserve"> тис</w:t>
      </w:r>
      <w:proofErr w:type="gramStart"/>
      <w:r w:rsidRPr="00A40F64">
        <w:rPr>
          <w:lang w:eastAsia="uk-UA"/>
        </w:rPr>
        <w:t>.</w:t>
      </w:r>
      <w:proofErr w:type="gramEnd"/>
      <w:r w:rsidRPr="00A40F64">
        <w:rPr>
          <w:lang w:eastAsia="uk-UA"/>
        </w:rPr>
        <w:t xml:space="preserve"> </w:t>
      </w:r>
      <w:proofErr w:type="gramStart"/>
      <w:r w:rsidRPr="00A40F64">
        <w:rPr>
          <w:lang w:eastAsia="uk-UA"/>
        </w:rPr>
        <w:t>г</w:t>
      </w:r>
      <w:proofErr w:type="gramEnd"/>
      <w:r w:rsidRPr="00A40F64">
        <w:rPr>
          <w:lang w:eastAsia="uk-UA"/>
        </w:rPr>
        <w:t>рн</w:t>
      </w:r>
      <w:r w:rsidRPr="00A40F64">
        <w:rPr>
          <w:lang w:val="uk-UA" w:eastAsia="uk-UA"/>
        </w:rPr>
        <w:t xml:space="preserve"> або на 29,7 відсотка.</w:t>
      </w:r>
    </w:p>
    <w:p w:rsidR="005E5AB4" w:rsidRPr="00A40F64" w:rsidRDefault="005E5AB4" w:rsidP="005E5AB4">
      <w:pPr>
        <w:ind w:firstLine="709"/>
        <w:jc w:val="both"/>
      </w:pPr>
      <w:r w:rsidRPr="00A40F64">
        <w:t>В структурі місцевих податків і зборів за 202</w:t>
      </w:r>
      <w:r w:rsidRPr="00A40F64">
        <w:rPr>
          <w:lang w:val="uk-UA"/>
        </w:rPr>
        <w:t>3(</w:t>
      </w:r>
      <w:r w:rsidRPr="00A40F64">
        <w:t>202</w:t>
      </w:r>
      <w:r w:rsidRPr="00A40F64">
        <w:rPr>
          <w:lang w:val="uk-UA"/>
        </w:rPr>
        <w:t>2)</w:t>
      </w:r>
      <w:r w:rsidRPr="00A40F64">
        <w:t xml:space="preserve"> рок</w:t>
      </w:r>
      <w:r w:rsidRPr="00A40F64">
        <w:rPr>
          <w:lang w:val="uk-UA"/>
        </w:rPr>
        <w:t>и</w:t>
      </w:r>
      <w:r w:rsidRPr="00A40F64">
        <w:t xml:space="preserve"> забезпечено надходження </w:t>
      </w:r>
      <w:proofErr w:type="gramStart"/>
      <w:r w:rsidRPr="00A40F64">
        <w:t>по</w:t>
      </w:r>
      <w:proofErr w:type="gramEnd"/>
      <w:r w:rsidRPr="00A40F64">
        <w:t>:</w:t>
      </w:r>
    </w:p>
    <w:p w:rsidR="005E5AB4" w:rsidRPr="00A40F64" w:rsidRDefault="005E5AB4" w:rsidP="005E5AB4">
      <w:pPr>
        <w:ind w:firstLine="709"/>
        <w:jc w:val="both"/>
      </w:pPr>
      <w:r w:rsidRPr="00A40F64">
        <w:t>- єдиному податку –</w:t>
      </w:r>
      <w:r w:rsidRPr="00A40F64">
        <w:rPr>
          <w:lang w:val="uk-UA"/>
        </w:rPr>
        <w:t xml:space="preserve"> 56,2 </w:t>
      </w:r>
      <w:r w:rsidRPr="00A40F64">
        <w:t>(</w:t>
      </w:r>
      <w:r w:rsidRPr="00A40F64">
        <w:rPr>
          <w:lang w:val="uk-UA"/>
        </w:rPr>
        <w:t>63,2) відсотка</w:t>
      </w:r>
      <w:r w:rsidRPr="00A40F64">
        <w:t xml:space="preserve">; </w:t>
      </w:r>
    </w:p>
    <w:p w:rsidR="005E5AB4" w:rsidRPr="00A40F64" w:rsidRDefault="005E5AB4" w:rsidP="005E5AB4">
      <w:pPr>
        <w:ind w:firstLine="709"/>
        <w:jc w:val="both"/>
      </w:pPr>
      <w:r w:rsidRPr="00A40F64">
        <w:t>- </w:t>
      </w:r>
      <w:proofErr w:type="gramStart"/>
      <w:r w:rsidRPr="00A40F64">
        <w:t>земельному</w:t>
      </w:r>
      <w:proofErr w:type="gramEnd"/>
      <w:r w:rsidRPr="00A40F64">
        <w:t xml:space="preserve"> податку </w:t>
      </w:r>
      <w:r w:rsidRPr="00A40F64">
        <w:rPr>
          <w:lang w:val="uk-UA"/>
        </w:rPr>
        <w:t xml:space="preserve">та </w:t>
      </w:r>
      <w:r w:rsidRPr="00A40F64">
        <w:t xml:space="preserve">орендній платі за землю – </w:t>
      </w:r>
      <w:r w:rsidRPr="00A40F64">
        <w:rPr>
          <w:lang w:val="uk-UA"/>
        </w:rPr>
        <w:t xml:space="preserve">36,8 </w:t>
      </w:r>
      <w:r w:rsidRPr="00A40F64">
        <w:t>(</w:t>
      </w:r>
      <w:r w:rsidRPr="00A40F64">
        <w:rPr>
          <w:lang w:val="uk-UA"/>
        </w:rPr>
        <w:t>30,6) відсотка</w:t>
      </w:r>
      <w:r w:rsidRPr="00A40F64">
        <w:t>;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- податку на нерухоме майно, відмінне від земельної ділянки – </w:t>
      </w:r>
      <w:r w:rsidRPr="00A40F64">
        <w:rPr>
          <w:lang w:val="uk-UA"/>
        </w:rPr>
        <w:t xml:space="preserve">4,8 </w:t>
      </w:r>
      <w:r w:rsidRPr="00A40F64">
        <w:t>(</w:t>
      </w:r>
      <w:r w:rsidRPr="00A40F64">
        <w:rPr>
          <w:lang w:val="uk-UA"/>
        </w:rPr>
        <w:t>4,7) відсотка;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>-  туристичному збору – 1,</w:t>
      </w:r>
      <w:r w:rsidRPr="00A40F64">
        <w:rPr>
          <w:lang w:val="uk-UA"/>
        </w:rPr>
        <w:t xml:space="preserve">9 </w:t>
      </w:r>
      <w:r w:rsidRPr="00A40F64">
        <w:t xml:space="preserve"> (</w:t>
      </w:r>
      <w:r w:rsidRPr="00A40F64">
        <w:rPr>
          <w:lang w:val="uk-UA"/>
        </w:rPr>
        <w:t>1,5) відсотка</w:t>
      </w:r>
      <w:r w:rsidRPr="00A40F64">
        <w:t>;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- транспортному податку – 0,3 (0,0) відсотка</w:t>
      </w:r>
      <w:r w:rsidRPr="00A40F64">
        <w:t>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pStyle w:val="af4"/>
        <w:spacing w:before="0" w:after="0"/>
        <w:ind w:left="0" w:firstLine="708"/>
      </w:pPr>
      <w:r w:rsidRPr="00A40F64">
        <w:t xml:space="preserve">Протягом звітного періоду </w:t>
      </w:r>
      <w:r w:rsidRPr="00A40F64">
        <w:rPr>
          <w:b/>
        </w:rPr>
        <w:t>єдиного податку</w:t>
      </w:r>
      <w:r w:rsidRPr="00A40F64">
        <w:t xml:space="preserve"> до бюджету громади  надійшло  7 812,8 тис. грн, що складає 113,6 відсотка до уточненого плану (уточнений план – 6 877,1 тис. грн). Порівняно з аналогічним періодом 2023 року надходження єдиного податку збільшились на  1045,5 тис. грн.</w:t>
      </w:r>
    </w:p>
    <w:p w:rsidR="005E5AB4" w:rsidRPr="00A40F64" w:rsidRDefault="005E5AB4" w:rsidP="005E5AB4">
      <w:pPr>
        <w:pStyle w:val="af5"/>
        <w:spacing w:after="120"/>
        <w:ind w:firstLine="709"/>
        <w:jc w:val="both"/>
        <w:rPr>
          <w:lang w:val="uk-UA"/>
        </w:rPr>
      </w:pPr>
      <w:r w:rsidRPr="00A40F64">
        <w:rPr>
          <w:lang w:val="uk-UA"/>
        </w:rPr>
        <w:lastRenderedPageBreak/>
        <w:t>Структуру надходжень єдиного податку формує: єдиний податок з фізичних осіб (87,0 відсотка), єдиний податок з юридичних осіб (12,8 відсотка), єдиний податок з сільськогосподарських товаровиробників (0,2 відсотка).</w:t>
      </w:r>
    </w:p>
    <w:p w:rsidR="005E5AB4" w:rsidRPr="00A40F64" w:rsidRDefault="005E5AB4" w:rsidP="005E5AB4">
      <w:pPr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>Порівняльний аналіз надходжень єдиного податку за 2022-2023 роки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  <w:r w:rsidRPr="00A40F64">
        <w:rPr>
          <w:color w:val="FF0000"/>
          <w:lang w:val="uk-UA"/>
        </w:rPr>
        <w:t xml:space="preserve">                                                                                                              </w:t>
      </w:r>
      <w:r w:rsidRPr="00A40F64">
        <w:rPr>
          <w:lang w:val="uk-UA"/>
        </w:rPr>
        <w:t>тис.грн</w:t>
      </w: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057900" cy="3114675"/>
            <wp:effectExtent l="0" t="0" r="0" b="0"/>
            <wp:docPr id="450" name="Объект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AB4" w:rsidRPr="00A40F64" w:rsidRDefault="005E5AB4" w:rsidP="005E5AB4">
      <w:pPr>
        <w:ind w:firstLine="709"/>
        <w:jc w:val="both"/>
        <w:rPr>
          <w:color w:val="FF0000"/>
        </w:rPr>
      </w:pPr>
    </w:p>
    <w:p w:rsidR="005E5AB4" w:rsidRPr="00A40F64" w:rsidRDefault="005E5AB4" w:rsidP="005E5AB4">
      <w:pPr>
        <w:pStyle w:val="af4"/>
        <w:spacing w:before="0" w:after="0"/>
        <w:ind w:left="0" w:firstLine="708"/>
      </w:pPr>
      <w:r w:rsidRPr="00A40F64">
        <w:t xml:space="preserve">Надходження єдиного податку з фізичних осіб становлять 6 795,5 тис. грн, що складає 112,6 відсотка до уточненого плану на вказаний період (уточнений план за період – 6 036,7 тис. грн).  </w:t>
      </w:r>
    </w:p>
    <w:p w:rsidR="005E5AB4" w:rsidRPr="00A40F64" w:rsidRDefault="005E5AB4" w:rsidP="005E5AB4">
      <w:pPr>
        <w:tabs>
          <w:tab w:val="left" w:pos="720"/>
        </w:tabs>
        <w:spacing w:after="120"/>
        <w:ind w:firstLine="709"/>
        <w:jc w:val="both"/>
        <w:rPr>
          <w:lang w:val="uk-UA"/>
        </w:rPr>
      </w:pPr>
      <w:r w:rsidRPr="00A40F64">
        <w:rPr>
          <w:lang w:val="uk-UA"/>
        </w:rPr>
        <w:t>Найбільшими платниками даного податку є ФОП Зеленчук І.М. – 209,8 тис. грн, ФОП Бельмега С.О. – 147,3 тис. грн,</w:t>
      </w:r>
      <w:r w:rsidRPr="00A40F64">
        <w:rPr>
          <w:color w:val="FF0000"/>
          <w:lang w:val="uk-UA"/>
        </w:rPr>
        <w:t xml:space="preserve"> </w:t>
      </w:r>
      <w:r w:rsidRPr="00A40F64">
        <w:rPr>
          <w:lang w:val="uk-UA"/>
        </w:rPr>
        <w:t>ФОП Пантелюк У. П. – 140,4 тис.грн,</w:t>
      </w:r>
      <w:r w:rsidRPr="00A40F64">
        <w:rPr>
          <w:color w:val="FF0000"/>
          <w:lang w:val="uk-UA"/>
        </w:rPr>
        <w:t xml:space="preserve"> </w:t>
      </w:r>
      <w:r w:rsidRPr="00A40F64">
        <w:rPr>
          <w:lang w:val="uk-UA"/>
        </w:rPr>
        <w:t>ФОП Левицький Л.В. – 110,3 тис. грн,</w:t>
      </w:r>
      <w:r w:rsidRPr="00A40F64">
        <w:rPr>
          <w:color w:val="FF0000"/>
          <w:lang w:val="uk-UA"/>
        </w:rPr>
        <w:t xml:space="preserve"> </w:t>
      </w:r>
      <w:r w:rsidRPr="00A40F64">
        <w:rPr>
          <w:lang w:val="uk-UA"/>
        </w:rPr>
        <w:t>ФОП Рокіщук В.М. – 103,4 тис.грн, ФОП Зеленчук В.М. – 100,9 тис. грн.</w:t>
      </w:r>
    </w:p>
    <w:p w:rsidR="005E5AB4" w:rsidRPr="00A40F64" w:rsidRDefault="005E5AB4" w:rsidP="005E5AB4">
      <w:pPr>
        <w:tabs>
          <w:tab w:val="left" w:pos="720"/>
        </w:tabs>
        <w:ind w:firstLine="709"/>
        <w:jc w:val="both"/>
      </w:pPr>
      <w:r w:rsidRPr="00A40F64">
        <w:rPr>
          <w:lang w:val="uk-UA"/>
        </w:rPr>
        <w:t xml:space="preserve"> </w:t>
      </w:r>
      <w:r w:rsidRPr="00A40F64">
        <w:t xml:space="preserve">Надходження єдиного податку з юридичних осіб становлять </w:t>
      </w:r>
      <w:r w:rsidRPr="00A40F64">
        <w:rPr>
          <w:lang w:val="uk-UA"/>
        </w:rPr>
        <w:t>1000,7</w:t>
      </w:r>
      <w:r w:rsidRPr="00A40F64">
        <w:t xml:space="preserve">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що складає </w:t>
      </w:r>
      <w:r w:rsidRPr="00A40F64">
        <w:rPr>
          <w:lang w:val="uk-UA"/>
        </w:rPr>
        <w:t xml:space="preserve">121,1 </w:t>
      </w:r>
      <w:r w:rsidRPr="00A40F64">
        <w:t>відсотк</w:t>
      </w:r>
      <w:r w:rsidRPr="00A40F64">
        <w:rPr>
          <w:lang w:val="uk-UA"/>
        </w:rPr>
        <w:t>а</w:t>
      </w:r>
      <w:r w:rsidRPr="00A40F64">
        <w:t xml:space="preserve"> до уточненого плану на вказаний період (уточнений план за період – </w:t>
      </w:r>
      <w:r w:rsidRPr="00A40F64">
        <w:rPr>
          <w:lang w:val="uk-UA"/>
        </w:rPr>
        <w:t>826,4</w:t>
      </w:r>
      <w:r w:rsidRPr="00A40F64">
        <w:t xml:space="preserve"> тис. грн). </w:t>
      </w:r>
    </w:p>
    <w:p w:rsidR="005E5AB4" w:rsidRPr="00A40F64" w:rsidRDefault="005E5AB4" w:rsidP="005E5AB4">
      <w:pPr>
        <w:tabs>
          <w:tab w:val="left" w:pos="720"/>
        </w:tabs>
        <w:spacing w:after="120"/>
        <w:ind w:firstLine="709"/>
        <w:jc w:val="both"/>
      </w:pPr>
      <w:r w:rsidRPr="00A40F64">
        <w:t xml:space="preserve">Найбільшими платниками податку є </w:t>
      </w:r>
      <w:r w:rsidRPr="00A40F64">
        <w:rPr>
          <w:lang w:val="uk-UA"/>
        </w:rPr>
        <w:t xml:space="preserve">ПП «Сонячні Карпати» - 497,6 тис. грн, </w:t>
      </w:r>
      <w:proofErr w:type="gramStart"/>
      <w:r w:rsidRPr="00A40F64">
        <w:rPr>
          <w:lang w:val="uk-UA"/>
        </w:rPr>
        <w:t>ТОВ</w:t>
      </w:r>
      <w:proofErr w:type="gramEnd"/>
      <w:r w:rsidRPr="00A40F64">
        <w:rPr>
          <w:lang w:val="uk-UA"/>
        </w:rPr>
        <w:t xml:space="preserve"> «Карпати Будінвест» - 118,1 тис. грн, ТОВ «ФІЛМС ДІВІЖН» - 80,9 тис. грн,</w:t>
      </w:r>
      <w:r w:rsidRPr="00A40F64">
        <w:rPr>
          <w:color w:val="FF0000"/>
          <w:lang w:val="uk-UA"/>
        </w:rPr>
        <w:t xml:space="preserve"> </w:t>
      </w:r>
      <w:r w:rsidRPr="00A40F64">
        <w:rPr>
          <w:lang w:val="uk-UA"/>
        </w:rPr>
        <w:t xml:space="preserve">ТОВ «Опришки» - 57,1 </w:t>
      </w:r>
      <w:r w:rsidRPr="00A40F64">
        <w:t>тис. грн,</w:t>
      </w:r>
      <w:r w:rsidRPr="00A40F64">
        <w:rPr>
          <w:color w:val="FF0000"/>
        </w:rPr>
        <w:t xml:space="preserve"> </w:t>
      </w:r>
      <w:r w:rsidRPr="00A40F64">
        <w:rPr>
          <w:lang w:val="uk-UA"/>
        </w:rPr>
        <w:t>ТОВ «Автокомплекс Верховина» - 53,9 тис. грн, ТОВ «Шруба» - 40,0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Надходження єдиного податку від сільськогосподарських товаровиробників, у яких частка сільськогосподарського товаровиробництва за попередній податковий (звітний) </w:t>
      </w:r>
      <w:proofErr w:type="gramStart"/>
      <w:r w:rsidRPr="00A40F64">
        <w:t>р</w:t>
      </w:r>
      <w:proofErr w:type="gramEnd"/>
      <w:r w:rsidRPr="00A40F64">
        <w:t>ік дорівнює або перевищує 75 відсотк</w:t>
      </w:r>
      <w:r w:rsidRPr="00A40F64">
        <w:rPr>
          <w:lang w:val="uk-UA"/>
        </w:rPr>
        <w:t>и,</w:t>
      </w:r>
      <w:r w:rsidRPr="00A40F64">
        <w:t xml:space="preserve"> </w:t>
      </w:r>
      <w:r w:rsidRPr="00A40F64">
        <w:rPr>
          <w:lang w:val="uk-UA"/>
        </w:rPr>
        <w:t>склало</w:t>
      </w:r>
      <w:r w:rsidRPr="00A40F64">
        <w:t xml:space="preserve"> в сумі </w:t>
      </w:r>
      <w:r w:rsidRPr="00A40F64">
        <w:rPr>
          <w:lang w:val="uk-UA"/>
        </w:rPr>
        <w:t>16,6</w:t>
      </w:r>
      <w:r w:rsidRPr="00A40F64">
        <w:t xml:space="preserve"> тис. грн, що на </w:t>
      </w:r>
      <w:r w:rsidRPr="00A40F64">
        <w:rPr>
          <w:lang w:val="uk-UA"/>
        </w:rPr>
        <w:t>13,3</w:t>
      </w:r>
      <w:r w:rsidRPr="00A40F64">
        <w:t xml:space="preserve"> тис. грн більше </w:t>
      </w:r>
      <w:r w:rsidRPr="00A40F64">
        <w:rPr>
          <w:lang w:val="uk-UA"/>
        </w:rPr>
        <w:t xml:space="preserve">надходжень </w:t>
      </w:r>
      <w:r w:rsidRPr="00A40F64">
        <w:t xml:space="preserve">минулого року. </w:t>
      </w:r>
      <w:r w:rsidRPr="00A40F64">
        <w:rPr>
          <w:lang w:val="uk-UA"/>
        </w:rPr>
        <w:t>Найбільшими п</w:t>
      </w:r>
      <w:r w:rsidRPr="00A40F64">
        <w:t>латник</w:t>
      </w:r>
      <w:r w:rsidRPr="00A40F64">
        <w:rPr>
          <w:lang w:val="uk-UA"/>
        </w:rPr>
        <w:t>ами</w:t>
      </w:r>
      <w:r w:rsidRPr="00A40F64">
        <w:t xml:space="preserve"> єдиного податку з сільськогосподарських товаровиробників є </w:t>
      </w:r>
      <w:r w:rsidRPr="00A40F64">
        <w:rPr>
          <w:lang w:val="uk-UA"/>
        </w:rPr>
        <w:t>ФГ «Бубки»</w:t>
      </w:r>
      <w:r w:rsidRPr="00A40F64">
        <w:t xml:space="preserve"> </w:t>
      </w:r>
      <w:r w:rsidRPr="00A40F64">
        <w:rPr>
          <w:lang w:val="uk-UA"/>
        </w:rPr>
        <w:t>- 4,2</w:t>
      </w:r>
      <w:r w:rsidRPr="00A40F64">
        <w:t xml:space="preserve"> тис. грн,  </w:t>
      </w:r>
      <w:r w:rsidRPr="00A40F64">
        <w:rPr>
          <w:lang w:val="uk-UA"/>
        </w:rPr>
        <w:t>ФГ Мартищука І.В. – 2,6 тис</w:t>
      </w:r>
      <w:proofErr w:type="gramStart"/>
      <w:r w:rsidRPr="00A40F64">
        <w:rPr>
          <w:lang w:val="uk-UA"/>
        </w:rPr>
        <w:t>.</w:t>
      </w:r>
      <w:proofErr w:type="gramEnd"/>
      <w:r w:rsidRPr="00A40F64">
        <w:rPr>
          <w:lang w:val="uk-UA"/>
        </w:rPr>
        <w:t xml:space="preserve"> </w:t>
      </w:r>
      <w:proofErr w:type="gramStart"/>
      <w:r w:rsidRPr="00A40F64">
        <w:rPr>
          <w:lang w:val="uk-UA"/>
        </w:rPr>
        <w:t>г</w:t>
      </w:r>
      <w:proofErr w:type="gramEnd"/>
      <w:r w:rsidRPr="00A40F64">
        <w:rPr>
          <w:lang w:val="uk-UA"/>
        </w:rPr>
        <w:t>рн, ФГ Костинюка Д. В. – 2,0 тис. грн, ФГ Шекеряка В. – 1,8 тис. грн, ФГ Гараджук П.В. – 1,4 тис. грн, СФГ Процюка М.І. – 1,1 тис. грн.</w:t>
      </w:r>
    </w:p>
    <w:p w:rsidR="005E5AB4" w:rsidRPr="00A40F64" w:rsidRDefault="005E5AB4" w:rsidP="005E5AB4">
      <w:pPr>
        <w:ind w:firstLine="709"/>
        <w:jc w:val="both"/>
        <w:rPr>
          <w:color w:val="C00000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>Податку на майно</w:t>
      </w:r>
      <w:r w:rsidRPr="00A40F64">
        <w:rPr>
          <w:lang w:val="uk-UA"/>
        </w:rPr>
        <w:t>, який включає податок на нерухоме майно, відмінне від земельної ділянки  та плату за землю надійшло 5 809,3 тис. грн, що складає 125,4 відсотка до уточненого плану (4 631,1 тис. грн) та приріст складає 1 178,2 тис. грн. В порівнянні з надходженнями 2022 року спостерігається збільшення надходжень на суму 2 024,8 тис. грн.</w:t>
      </w:r>
    </w:p>
    <w:p w:rsidR="005E5AB4" w:rsidRPr="00A40F64" w:rsidRDefault="005E5AB4" w:rsidP="005E5AB4">
      <w:pPr>
        <w:ind w:firstLine="709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709"/>
        <w:jc w:val="both"/>
      </w:pPr>
      <w:r w:rsidRPr="00A40F64">
        <w:rPr>
          <w:b/>
          <w:lang w:val="uk-UA"/>
        </w:rPr>
        <w:t>Порівняльний аналіз надходжень податку на майно за 2022-2023 роки</w:t>
      </w:r>
    </w:p>
    <w:p w:rsidR="005E5AB4" w:rsidRPr="00A40F64" w:rsidRDefault="005E5AB4" w:rsidP="005E5AB4">
      <w:pPr>
        <w:ind w:firstLine="709"/>
        <w:jc w:val="center"/>
        <w:rPr>
          <w:lang w:val="uk-UA"/>
        </w:rPr>
      </w:pPr>
      <w:r w:rsidRPr="00A40F64">
        <w:lastRenderedPageBreak/>
        <w:t xml:space="preserve">                                          </w:t>
      </w:r>
      <w:r w:rsidRPr="00A40F64">
        <w:rPr>
          <w:lang w:val="uk-UA"/>
        </w:rPr>
        <w:t xml:space="preserve">                                                 тис. грн                                    </w:t>
      </w:r>
      <w:r w:rsidRPr="00A40F64">
        <w:t xml:space="preserve">    </w:t>
      </w:r>
      <w:r w:rsidRPr="00A40F64">
        <w:rPr>
          <w:noProof/>
          <w:lang w:val="uk-UA" w:eastAsia="uk-UA"/>
        </w:rPr>
        <w:drawing>
          <wp:inline distT="0" distB="0" distL="0" distR="0">
            <wp:extent cx="6096000" cy="4057650"/>
            <wp:effectExtent l="0" t="0" r="0" b="0"/>
            <wp:docPr id="29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5AB4" w:rsidRPr="00A40F64" w:rsidRDefault="005E5AB4" w:rsidP="005E5AB4">
      <w:pPr>
        <w:spacing w:before="120"/>
        <w:ind w:firstLine="708"/>
        <w:jc w:val="both"/>
        <w:rPr>
          <w:lang w:val="uk-UA"/>
        </w:rPr>
      </w:pPr>
      <w:r w:rsidRPr="00A40F64">
        <w:rPr>
          <w:lang w:val="uk-UA"/>
        </w:rPr>
        <w:t xml:space="preserve">На збільшення надходжень </w:t>
      </w:r>
      <w:r w:rsidRPr="00A40F64">
        <w:t>податку на майно</w:t>
      </w:r>
      <w:r w:rsidRPr="00A40F64">
        <w:rPr>
          <w:lang w:val="uk-UA"/>
        </w:rPr>
        <w:t xml:space="preserve"> у звітному році вплинула  велика частина надходжень даного податку за 2022 рік, у зв’язку з нарахуванням та поданням повідомлення-рішення органом Державної податкової служби  у кінці жовтня 2022 року.</w:t>
      </w:r>
    </w:p>
    <w:p w:rsidR="005E5AB4" w:rsidRPr="00A40F64" w:rsidRDefault="005E5AB4" w:rsidP="005E5AB4">
      <w:pPr>
        <w:pStyle w:val="a7"/>
        <w:ind w:left="0" w:firstLine="709"/>
        <w:jc w:val="both"/>
      </w:pPr>
      <w:r w:rsidRPr="00A40F64">
        <w:t>Також, внаслідок проведеної роботи із боржниками по податку на майно сплачено частину податкового боргу, який склався станом на 01.01.2023 року.</w:t>
      </w:r>
      <w:r w:rsidRPr="00A40F64">
        <w:rPr>
          <w:color w:val="C00000"/>
        </w:rPr>
        <w:t xml:space="preserve"> </w:t>
      </w:r>
      <w:r w:rsidRPr="00A40F64">
        <w:t xml:space="preserve">Верховинським районним лісгоспом погашено борг у сумі 549,2 тис. грн. (237,6 тис. грн  земельного податку з юридичних осіб та 311,6 тис. грн орендної плати з юридичних осіб), Спільним українсько-чеським </w:t>
      </w:r>
      <w:proofErr w:type="gramStart"/>
      <w:r w:rsidRPr="00A40F64">
        <w:t>п</w:t>
      </w:r>
      <w:proofErr w:type="gramEnd"/>
      <w:r w:rsidRPr="00A40F64">
        <w:t>ідприємством «Крона» 361,9 тис. грн (18,9 тис. грн податку на нерухоме майно з юридичних осіб, які є власниками нежитлової промисловості та 343,0 тис. грн – орендної плати з юридичних осіб), ТзОВ Верховинський районний комбінат сільського  комунального господарства «Райсількомунгосп» – 19,8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 (14,3 тис. грн орендної плати за землю з юридичних осіб та 5,5 тис. грн  податку на нерухоме майно, відмінного від земельної ділянки) та ПП «Буркут і К» - 10,5 тис. грн земельного податку з юридичних осіб.</w:t>
      </w:r>
    </w:p>
    <w:p w:rsidR="005E5AB4" w:rsidRPr="00A40F64" w:rsidRDefault="005E5AB4" w:rsidP="005E5AB4">
      <w:pPr>
        <w:spacing w:before="120"/>
        <w:ind w:firstLine="708"/>
        <w:jc w:val="both"/>
        <w:rPr>
          <w:lang w:val="uk-UA"/>
        </w:rPr>
      </w:pPr>
      <w:r w:rsidRPr="00A40F64">
        <w:t xml:space="preserve">Надходження </w:t>
      </w:r>
      <w:r w:rsidRPr="00A40F64">
        <w:rPr>
          <w:b/>
          <w:lang w:val="uk-UA"/>
        </w:rPr>
        <w:t>туристичного збору</w:t>
      </w:r>
      <w:r w:rsidRPr="00A40F64">
        <w:t xml:space="preserve"> становлять </w:t>
      </w:r>
      <w:r w:rsidRPr="00A40F64">
        <w:rPr>
          <w:lang w:val="uk-UA"/>
        </w:rPr>
        <w:t xml:space="preserve">265,5 </w:t>
      </w:r>
      <w:r w:rsidRPr="00A40F64">
        <w:t>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що складає </w:t>
      </w:r>
      <w:r w:rsidRPr="00A40F64">
        <w:rPr>
          <w:lang w:val="uk-UA"/>
        </w:rPr>
        <w:t>147,5</w:t>
      </w:r>
      <w:r w:rsidRPr="00A40F64">
        <w:t xml:space="preserve"> </w:t>
      </w:r>
      <w:r w:rsidRPr="00A40F64">
        <w:rPr>
          <w:lang w:val="uk-UA"/>
        </w:rPr>
        <w:t>відсотка</w:t>
      </w:r>
      <w:r w:rsidRPr="00A40F64">
        <w:t xml:space="preserve"> до уточнен</w:t>
      </w:r>
      <w:r w:rsidRPr="00A40F64">
        <w:rPr>
          <w:lang w:val="uk-UA"/>
        </w:rPr>
        <w:t>их показників</w:t>
      </w:r>
      <w:r w:rsidRPr="00A40F64">
        <w:t xml:space="preserve"> (</w:t>
      </w:r>
      <w:r w:rsidRPr="00A40F64">
        <w:rPr>
          <w:lang w:val="uk-UA"/>
        </w:rPr>
        <w:t>180,0</w:t>
      </w:r>
      <w:r w:rsidRPr="00A40F64">
        <w:t xml:space="preserve"> тис. грн). </w:t>
      </w:r>
      <w:r w:rsidRPr="00A40F64">
        <w:rPr>
          <w:lang w:val="uk-UA"/>
        </w:rPr>
        <w:t>В порівнянні з аналогічним періодом минулого року надходження збору збільшилися на 108,5 тис. грн або на 69,1 відсотка.</w:t>
      </w:r>
    </w:p>
    <w:p w:rsidR="005E5AB4" w:rsidRPr="00A40F64" w:rsidRDefault="005E5AB4" w:rsidP="005E5AB4">
      <w:pPr>
        <w:spacing w:before="120"/>
        <w:ind w:firstLine="708"/>
        <w:jc w:val="both"/>
        <w:rPr>
          <w:lang w:val="uk-UA"/>
        </w:rPr>
      </w:pPr>
    </w:p>
    <w:p w:rsidR="005E5AB4" w:rsidRPr="00A40F64" w:rsidRDefault="005E5AB4" w:rsidP="005E5AB4">
      <w:pPr>
        <w:spacing w:before="120"/>
        <w:ind w:firstLine="708"/>
        <w:jc w:val="both"/>
        <w:rPr>
          <w:lang w:val="uk-UA"/>
        </w:rPr>
      </w:pPr>
      <w:r w:rsidRPr="00A40F64">
        <w:rPr>
          <w:noProof/>
          <w:lang w:val="uk-UA" w:eastAsia="uk-UA"/>
        </w:rPr>
        <w:lastRenderedPageBreak/>
        <w:drawing>
          <wp:inline distT="0" distB="0" distL="0" distR="0">
            <wp:extent cx="5848350" cy="3162300"/>
            <wp:effectExtent l="0" t="0" r="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5AB4" w:rsidRPr="00A40F64" w:rsidRDefault="005E5AB4" w:rsidP="005E5AB4">
      <w:pPr>
        <w:ind w:firstLine="709"/>
        <w:jc w:val="center"/>
        <w:rPr>
          <w:color w:val="FF0000"/>
          <w:lang w:val="uk-UA"/>
        </w:rPr>
      </w:pPr>
    </w:p>
    <w:p w:rsidR="005E5AB4" w:rsidRPr="00A40F64" w:rsidRDefault="005E5AB4" w:rsidP="005E5AB4">
      <w:pPr>
        <w:ind w:firstLine="709"/>
        <w:jc w:val="center"/>
        <w:rPr>
          <w:color w:val="FF0000"/>
          <w:lang w:val="uk-UA"/>
        </w:rPr>
      </w:pPr>
      <w:r w:rsidRPr="00A40F64">
        <w:rPr>
          <w:color w:val="FF0000"/>
          <w:lang w:val="uk-UA"/>
        </w:rPr>
        <w:tab/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bdr w:val="none" w:sz="0" w:space="0" w:color="auto" w:frame="1"/>
          <w:lang w:eastAsia="uk-UA"/>
        </w:rPr>
      </w:pPr>
      <w:r w:rsidRPr="00A40F64">
        <w:rPr>
          <w:lang w:val="uk-UA"/>
        </w:rPr>
        <w:t xml:space="preserve">Третє місце за обсягами надходжень до бюджету громади займають </w:t>
      </w:r>
      <w:r w:rsidRPr="00A40F64">
        <w:rPr>
          <w:b/>
          <w:bCs/>
          <w:bdr w:val="none" w:sz="0" w:space="0" w:color="auto" w:frame="1"/>
          <w:lang w:val="uk-UA" w:eastAsia="uk-UA"/>
        </w:rPr>
        <w:t>в</w:t>
      </w:r>
      <w:r w:rsidRPr="00A40F64">
        <w:rPr>
          <w:b/>
          <w:bCs/>
          <w:bdr w:val="none" w:sz="0" w:space="0" w:color="auto" w:frame="1"/>
          <w:lang w:eastAsia="uk-UA"/>
        </w:rPr>
        <w:t>нутрішні податки на товари та послуги </w:t>
      </w:r>
      <w:r w:rsidRPr="00A40F64">
        <w:rPr>
          <w:b/>
          <w:bCs/>
          <w:bdr w:val="none" w:sz="0" w:space="0" w:color="auto" w:frame="1"/>
          <w:lang w:val="uk-UA" w:eastAsia="uk-UA"/>
        </w:rPr>
        <w:t xml:space="preserve"> (</w:t>
      </w:r>
      <w:r w:rsidRPr="00A40F64">
        <w:rPr>
          <w:b/>
          <w:lang w:val="uk-UA"/>
        </w:rPr>
        <w:t xml:space="preserve">акцизний податок) – </w:t>
      </w:r>
      <w:r w:rsidRPr="00A40F64">
        <w:rPr>
          <w:bdr w:val="none" w:sz="0" w:space="0" w:color="auto" w:frame="1"/>
          <w:lang w:val="uk-UA" w:eastAsia="uk-UA"/>
        </w:rPr>
        <w:t>6,1</w:t>
      </w:r>
      <w:r w:rsidRPr="00A40F64">
        <w:rPr>
          <w:bdr w:val="none" w:sz="0" w:space="0" w:color="auto" w:frame="1"/>
          <w:lang w:eastAsia="uk-UA"/>
        </w:rPr>
        <w:t xml:space="preserve"> </w:t>
      </w:r>
      <w:r w:rsidRPr="00A40F64">
        <w:rPr>
          <w:bdr w:val="none" w:sz="0" w:space="0" w:color="auto" w:frame="1"/>
          <w:lang w:val="uk-UA" w:eastAsia="uk-UA"/>
        </w:rPr>
        <w:t xml:space="preserve">відсотка </w:t>
      </w:r>
      <w:r w:rsidRPr="00A40F64">
        <w:rPr>
          <w:bdr w:val="none" w:sz="0" w:space="0" w:color="auto" w:frame="1"/>
          <w:lang w:eastAsia="uk-UA"/>
        </w:rPr>
        <w:t xml:space="preserve">надходжень загального фонду – </w:t>
      </w:r>
      <w:r w:rsidRPr="00A40F64">
        <w:rPr>
          <w:bdr w:val="none" w:sz="0" w:space="0" w:color="auto" w:frame="1"/>
          <w:lang w:val="uk-UA" w:eastAsia="uk-UA"/>
        </w:rPr>
        <w:t>4 390,2</w:t>
      </w:r>
      <w:r w:rsidRPr="00A40F64">
        <w:rPr>
          <w:bdr w:val="none" w:sz="0" w:space="0" w:color="auto" w:frame="1"/>
          <w:lang w:eastAsia="uk-UA"/>
        </w:rPr>
        <w:t xml:space="preserve"> тис. грн, до яких входять: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bdr w:val="none" w:sz="0" w:space="0" w:color="auto" w:frame="1"/>
          <w:lang w:eastAsia="uk-UA"/>
        </w:rPr>
      </w:pPr>
      <w:r w:rsidRPr="00A40F64">
        <w:rPr>
          <w:bdr w:val="none" w:sz="0" w:space="0" w:color="auto" w:frame="1"/>
          <w:lang w:eastAsia="uk-UA"/>
        </w:rPr>
        <w:t xml:space="preserve">- акцизний податок з вироблених в Україні </w:t>
      </w:r>
      <w:proofErr w:type="gramStart"/>
      <w:r w:rsidRPr="00A40F64">
        <w:rPr>
          <w:bdr w:val="none" w:sz="0" w:space="0" w:color="auto" w:frame="1"/>
          <w:lang w:eastAsia="uk-UA"/>
        </w:rPr>
        <w:t>п</w:t>
      </w:r>
      <w:proofErr w:type="gramEnd"/>
      <w:r w:rsidRPr="00A40F64">
        <w:rPr>
          <w:bdr w:val="none" w:sz="0" w:space="0" w:color="auto" w:frame="1"/>
          <w:lang w:eastAsia="uk-UA"/>
        </w:rPr>
        <w:t>ідакцизних товарів (</w:t>
      </w:r>
      <w:r w:rsidRPr="00A40F64">
        <w:rPr>
          <w:bdr w:val="none" w:sz="0" w:space="0" w:color="auto" w:frame="1"/>
          <w:lang w:val="uk-UA" w:eastAsia="uk-UA"/>
        </w:rPr>
        <w:t>пального</w:t>
      </w:r>
      <w:r w:rsidRPr="00A40F64">
        <w:rPr>
          <w:bdr w:val="none" w:sz="0" w:space="0" w:color="auto" w:frame="1"/>
          <w:lang w:eastAsia="uk-UA"/>
        </w:rPr>
        <w:t>)</w:t>
      </w:r>
      <w:r w:rsidRPr="00A40F64">
        <w:rPr>
          <w:bdr w:val="none" w:sz="0" w:space="0" w:color="auto" w:frame="1"/>
          <w:lang w:val="uk-UA" w:eastAsia="uk-UA"/>
        </w:rPr>
        <w:t>, який</w:t>
      </w:r>
      <w:r w:rsidRPr="00A40F64">
        <w:rPr>
          <w:bdr w:val="none" w:sz="0" w:space="0" w:color="auto" w:frame="1"/>
          <w:lang w:eastAsia="uk-UA"/>
        </w:rPr>
        <w:t xml:space="preserve"> у структурі внутрішніх податків займає </w:t>
      </w:r>
      <w:r w:rsidRPr="00A40F64">
        <w:rPr>
          <w:bdr w:val="none" w:sz="0" w:space="0" w:color="auto" w:frame="1"/>
          <w:lang w:val="uk-UA" w:eastAsia="uk-UA"/>
        </w:rPr>
        <w:t>13,1</w:t>
      </w:r>
      <w:r w:rsidRPr="00A40F64">
        <w:rPr>
          <w:bdr w:val="none" w:sz="0" w:space="0" w:color="auto" w:frame="1"/>
          <w:lang w:eastAsia="uk-UA"/>
        </w:rPr>
        <w:t xml:space="preserve"> </w:t>
      </w:r>
      <w:r w:rsidRPr="00A40F64">
        <w:rPr>
          <w:bdr w:val="none" w:sz="0" w:space="0" w:color="auto" w:frame="1"/>
          <w:lang w:val="uk-UA" w:eastAsia="uk-UA"/>
        </w:rPr>
        <w:t xml:space="preserve">відсотка </w:t>
      </w:r>
      <w:r w:rsidRPr="00A40F64">
        <w:rPr>
          <w:bdr w:val="none" w:sz="0" w:space="0" w:color="auto" w:frame="1"/>
          <w:lang w:eastAsia="uk-UA"/>
        </w:rPr>
        <w:t>(</w:t>
      </w:r>
      <w:r w:rsidRPr="00A40F64">
        <w:rPr>
          <w:bdr w:val="none" w:sz="0" w:space="0" w:color="auto" w:frame="1"/>
          <w:lang w:val="uk-UA" w:eastAsia="uk-UA"/>
        </w:rPr>
        <w:t>574,4</w:t>
      </w:r>
      <w:r w:rsidRPr="00A40F64">
        <w:rPr>
          <w:bdr w:val="none" w:sz="0" w:space="0" w:color="auto" w:frame="1"/>
          <w:lang w:eastAsia="uk-UA"/>
        </w:rPr>
        <w:t xml:space="preserve"> тис. грн),</w:t>
      </w:r>
      <w:r w:rsidRPr="00A40F64">
        <w:rPr>
          <w:bdr w:val="none" w:sz="0" w:space="0" w:color="auto" w:frame="1"/>
          <w:lang w:val="uk-UA" w:eastAsia="uk-UA"/>
        </w:rPr>
        <w:t xml:space="preserve"> при</w:t>
      </w:r>
      <w:r w:rsidRPr="00A40F64">
        <w:rPr>
          <w:bdr w:val="none" w:sz="0" w:space="0" w:color="auto" w:frame="1"/>
          <w:lang w:eastAsia="uk-UA"/>
        </w:rPr>
        <w:t xml:space="preserve"> планових показниках </w:t>
      </w:r>
      <w:r w:rsidRPr="00A40F64">
        <w:rPr>
          <w:bdr w:val="none" w:sz="0" w:space="0" w:color="auto" w:frame="1"/>
          <w:lang w:val="uk-UA" w:eastAsia="uk-UA"/>
        </w:rPr>
        <w:t>557,8</w:t>
      </w:r>
      <w:r w:rsidRPr="00A40F64">
        <w:rPr>
          <w:bdr w:val="none" w:sz="0" w:space="0" w:color="auto" w:frame="1"/>
          <w:lang w:eastAsia="uk-UA"/>
        </w:rPr>
        <w:t xml:space="preserve"> тис. грн;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bdr w:val="none" w:sz="0" w:space="0" w:color="auto" w:frame="1"/>
          <w:lang w:eastAsia="uk-UA"/>
        </w:rPr>
      </w:pPr>
      <w:r w:rsidRPr="00A40F64">
        <w:rPr>
          <w:bdr w:val="none" w:sz="0" w:space="0" w:color="auto" w:frame="1"/>
          <w:lang w:eastAsia="uk-UA"/>
        </w:rPr>
        <w:t xml:space="preserve">- акцизний податок з ввезених на митну територію України </w:t>
      </w:r>
      <w:proofErr w:type="gramStart"/>
      <w:r w:rsidRPr="00A40F64">
        <w:rPr>
          <w:bdr w:val="none" w:sz="0" w:space="0" w:color="auto" w:frame="1"/>
          <w:lang w:eastAsia="uk-UA"/>
        </w:rPr>
        <w:t>п</w:t>
      </w:r>
      <w:proofErr w:type="gramEnd"/>
      <w:r w:rsidRPr="00A40F64">
        <w:rPr>
          <w:bdr w:val="none" w:sz="0" w:space="0" w:color="auto" w:frame="1"/>
          <w:lang w:eastAsia="uk-UA"/>
        </w:rPr>
        <w:t>ідакцизних товарів (</w:t>
      </w:r>
      <w:r w:rsidRPr="00A40F64">
        <w:rPr>
          <w:bdr w:val="none" w:sz="0" w:space="0" w:color="auto" w:frame="1"/>
          <w:lang w:val="uk-UA" w:eastAsia="uk-UA"/>
        </w:rPr>
        <w:t>пального</w:t>
      </w:r>
      <w:r w:rsidRPr="00A40F64">
        <w:rPr>
          <w:bdr w:val="none" w:sz="0" w:space="0" w:color="auto" w:frame="1"/>
          <w:lang w:eastAsia="uk-UA"/>
        </w:rPr>
        <w:t xml:space="preserve">) у структурі внутрішніх податків займає </w:t>
      </w:r>
      <w:r w:rsidRPr="00A40F64">
        <w:rPr>
          <w:bdr w:val="none" w:sz="0" w:space="0" w:color="auto" w:frame="1"/>
          <w:lang w:val="uk-UA" w:eastAsia="uk-UA"/>
        </w:rPr>
        <w:t>49,9 відсотка</w:t>
      </w:r>
      <w:r w:rsidRPr="00A40F64">
        <w:rPr>
          <w:bdr w:val="none" w:sz="0" w:space="0" w:color="auto" w:frame="1"/>
          <w:lang w:eastAsia="uk-UA"/>
        </w:rPr>
        <w:t xml:space="preserve"> (</w:t>
      </w:r>
      <w:r w:rsidRPr="00A40F64">
        <w:rPr>
          <w:bdr w:val="none" w:sz="0" w:space="0" w:color="auto" w:frame="1"/>
          <w:lang w:val="uk-UA" w:eastAsia="uk-UA"/>
        </w:rPr>
        <w:t>2 190,5</w:t>
      </w:r>
      <w:r w:rsidRPr="00A40F64">
        <w:rPr>
          <w:bdr w:val="none" w:sz="0" w:space="0" w:color="auto" w:frame="1"/>
          <w:lang w:eastAsia="uk-UA"/>
        </w:rPr>
        <w:t xml:space="preserve"> тис. грн) при планових показниках </w:t>
      </w:r>
      <w:r w:rsidRPr="00A40F64">
        <w:rPr>
          <w:bdr w:val="none" w:sz="0" w:space="0" w:color="auto" w:frame="1"/>
          <w:lang w:val="uk-UA" w:eastAsia="uk-UA"/>
        </w:rPr>
        <w:t>2 024,5</w:t>
      </w:r>
      <w:r w:rsidRPr="00A40F64">
        <w:rPr>
          <w:bdr w:val="none" w:sz="0" w:space="0" w:color="auto" w:frame="1"/>
          <w:lang w:eastAsia="uk-UA"/>
        </w:rPr>
        <w:t xml:space="preserve"> тис. грн;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bdr w:val="none" w:sz="0" w:space="0" w:color="auto" w:frame="1"/>
          <w:lang w:eastAsia="uk-UA"/>
        </w:rPr>
      </w:pPr>
      <w:r w:rsidRPr="00A40F64">
        <w:rPr>
          <w:bdr w:val="none" w:sz="0" w:space="0" w:color="auto" w:frame="1"/>
          <w:lang w:eastAsia="uk-UA"/>
        </w:rPr>
        <w:t>- акцизний податок з реалізації суб`єктами господарювання роздрібної торгі</w:t>
      </w:r>
      <w:proofErr w:type="gramStart"/>
      <w:r w:rsidRPr="00A40F64">
        <w:rPr>
          <w:bdr w:val="none" w:sz="0" w:space="0" w:color="auto" w:frame="1"/>
          <w:lang w:eastAsia="uk-UA"/>
        </w:rPr>
        <w:t>вл</w:t>
      </w:r>
      <w:proofErr w:type="gramEnd"/>
      <w:r w:rsidRPr="00A40F64">
        <w:rPr>
          <w:bdr w:val="none" w:sz="0" w:space="0" w:color="auto" w:frame="1"/>
          <w:lang w:eastAsia="uk-UA"/>
        </w:rPr>
        <w:t xml:space="preserve">і підакцизних товарів у структурі внутрішніх податків займає </w:t>
      </w:r>
      <w:r w:rsidRPr="00A40F64">
        <w:rPr>
          <w:bdr w:val="none" w:sz="0" w:space="0" w:color="auto" w:frame="1"/>
          <w:lang w:val="uk-UA" w:eastAsia="uk-UA"/>
        </w:rPr>
        <w:t>37</w:t>
      </w:r>
      <w:r w:rsidRPr="00A40F64">
        <w:rPr>
          <w:bdr w:val="none" w:sz="0" w:space="0" w:color="auto" w:frame="1"/>
          <w:lang w:eastAsia="uk-UA"/>
        </w:rPr>
        <w:t xml:space="preserve">,0 </w:t>
      </w:r>
      <w:r w:rsidRPr="00A40F64">
        <w:rPr>
          <w:bdr w:val="none" w:sz="0" w:space="0" w:color="auto" w:frame="1"/>
          <w:lang w:val="uk-UA" w:eastAsia="uk-UA"/>
        </w:rPr>
        <w:t>відсотка</w:t>
      </w:r>
      <w:r w:rsidRPr="00A40F64">
        <w:rPr>
          <w:bdr w:val="none" w:sz="0" w:space="0" w:color="auto" w:frame="1"/>
          <w:lang w:eastAsia="uk-UA"/>
        </w:rPr>
        <w:t xml:space="preserve"> (</w:t>
      </w:r>
      <w:r w:rsidRPr="00A40F64">
        <w:rPr>
          <w:bdr w:val="none" w:sz="0" w:space="0" w:color="auto" w:frame="1"/>
          <w:lang w:val="uk-UA" w:eastAsia="uk-UA"/>
        </w:rPr>
        <w:t>1625,3</w:t>
      </w:r>
      <w:r w:rsidRPr="00A40F64">
        <w:rPr>
          <w:bdr w:val="none" w:sz="0" w:space="0" w:color="auto" w:frame="1"/>
          <w:lang w:eastAsia="uk-UA"/>
        </w:rPr>
        <w:t xml:space="preserve"> тис. грн), планові показники </w:t>
      </w:r>
      <w:r w:rsidRPr="00A40F64">
        <w:rPr>
          <w:bdr w:val="none" w:sz="0" w:space="0" w:color="auto" w:frame="1"/>
          <w:lang w:val="uk-UA" w:eastAsia="uk-UA"/>
        </w:rPr>
        <w:t>1496,9</w:t>
      </w:r>
      <w:r w:rsidRPr="00A40F64">
        <w:rPr>
          <w:bdr w:val="none" w:sz="0" w:space="0" w:color="auto" w:frame="1"/>
          <w:lang w:eastAsia="uk-UA"/>
        </w:rPr>
        <w:t xml:space="preserve"> тис. </w:t>
      </w:r>
      <w:r w:rsidRPr="00A40F64">
        <w:rPr>
          <w:bdr w:val="none" w:sz="0" w:space="0" w:color="auto" w:frame="1"/>
          <w:lang w:val="uk-UA" w:eastAsia="uk-UA"/>
        </w:rPr>
        <w:t>г</w:t>
      </w:r>
      <w:r w:rsidRPr="00A40F64">
        <w:rPr>
          <w:bdr w:val="none" w:sz="0" w:space="0" w:color="auto" w:frame="1"/>
          <w:lang w:eastAsia="uk-UA"/>
        </w:rPr>
        <w:t>рн</w:t>
      </w:r>
      <w:r w:rsidRPr="00A40F64">
        <w:rPr>
          <w:bdr w:val="none" w:sz="0" w:space="0" w:color="auto" w:frame="1"/>
          <w:lang w:val="uk-UA" w:eastAsia="uk-UA"/>
        </w:rPr>
        <w:t>.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lang w:eastAsia="uk-UA"/>
        </w:rPr>
      </w:pPr>
    </w:p>
    <w:p w:rsidR="005E5AB4" w:rsidRPr="00A40F64" w:rsidRDefault="005E5AB4" w:rsidP="005E5AB4">
      <w:pPr>
        <w:ind w:firstLine="709"/>
        <w:jc w:val="center"/>
        <w:rPr>
          <w:b/>
          <w:bCs/>
          <w:lang w:val="uk-UA" w:eastAsia="uk-UA"/>
        </w:rPr>
      </w:pPr>
      <w:r w:rsidRPr="00A40F64">
        <w:rPr>
          <w:b/>
          <w:lang w:val="uk-UA"/>
        </w:rPr>
        <w:t>Порівняльний аналіз надходжень акцизного податку</w:t>
      </w:r>
      <w:r w:rsidRPr="00A40F64">
        <w:rPr>
          <w:b/>
          <w:bCs/>
          <w:lang w:eastAsia="uk-UA"/>
        </w:rPr>
        <w:t> </w:t>
      </w:r>
    </w:p>
    <w:p w:rsidR="005E5AB4" w:rsidRPr="00A40F64" w:rsidRDefault="005E5AB4" w:rsidP="005E5AB4">
      <w:pPr>
        <w:ind w:left="8647" w:hanging="7938"/>
        <w:jc w:val="center"/>
        <w:rPr>
          <w:color w:val="FF0000"/>
          <w:lang w:val="uk-UA"/>
        </w:rPr>
      </w:pPr>
      <w:r w:rsidRPr="00A40F64">
        <w:rPr>
          <w:b/>
          <w:bCs/>
          <w:lang w:val="uk-UA" w:eastAsia="uk-UA"/>
        </w:rPr>
        <w:t>за 2022-2023 роки</w:t>
      </w:r>
      <w:r w:rsidRPr="00A40F64">
        <w:rPr>
          <w:lang w:val="uk-UA"/>
        </w:rPr>
        <w:t xml:space="preserve">                                                                                                                                         тис. грн</w:t>
      </w:r>
    </w:p>
    <w:p w:rsidR="005E5AB4" w:rsidRPr="00A40F64" w:rsidRDefault="005E5AB4" w:rsidP="005E5AB4">
      <w:pPr>
        <w:pStyle w:val="11"/>
        <w:spacing w:before="0" w:beforeAutospacing="0" w:after="0" w:afterAutospacing="0"/>
        <w:ind w:firstLine="709"/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lastRenderedPageBreak/>
        <w:drawing>
          <wp:inline distT="0" distB="0" distL="0" distR="0">
            <wp:extent cx="5848350" cy="3781425"/>
            <wp:effectExtent l="0" t="0" r="0" b="0"/>
            <wp:docPr id="255" name="Объект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5AB4" w:rsidRPr="00A40F64" w:rsidRDefault="005E5AB4" w:rsidP="005E5AB4">
      <w:pPr>
        <w:shd w:val="clear" w:color="auto" w:fill="FFFFFF"/>
        <w:spacing w:line="276" w:lineRule="auto"/>
        <w:jc w:val="both"/>
        <w:rPr>
          <w:color w:val="FF0000"/>
          <w:lang w:val="uk-UA"/>
        </w:rPr>
      </w:pPr>
      <w:r w:rsidRPr="00A40F64">
        <w:rPr>
          <w:color w:val="FF0000"/>
          <w:lang w:val="uk-UA"/>
        </w:rPr>
        <w:t xml:space="preserve">        </w:t>
      </w:r>
    </w:p>
    <w:p w:rsidR="005E5AB4" w:rsidRPr="00A40F64" w:rsidRDefault="005E5AB4" w:rsidP="005E5AB4">
      <w:pPr>
        <w:pStyle w:val="11"/>
        <w:shd w:val="clear" w:color="auto" w:fill="FFFFFF"/>
        <w:spacing w:before="0" w:beforeAutospacing="0" w:after="150" w:afterAutospacing="0"/>
        <w:ind w:firstLine="709"/>
        <w:jc w:val="both"/>
        <w:rPr>
          <w:lang w:val="uk-UA"/>
        </w:rPr>
      </w:pPr>
      <w:r w:rsidRPr="00A40F64">
        <w:rPr>
          <w:lang w:val="uk-UA"/>
        </w:rPr>
        <w:t>Порівняно з 2022 роком надходження акцизного податку збільшились на 2 182,6 тис.грн. Збільшенню надходжень акцизного податку  сприяло  відновлення оподаткування нафтопродуктів та встановлення нових ставок на акциз із нафтопродуктів (в 2022 році було скасовано загальнодержавний акциз на пальне - встановлення ставки на рівні 0 євро за 100 літрів).</w:t>
      </w:r>
    </w:p>
    <w:p w:rsidR="005E5AB4" w:rsidRPr="00A40F64" w:rsidRDefault="005E5AB4" w:rsidP="005E5AB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 w:rsidRPr="00A40F64">
        <w:rPr>
          <w:b/>
          <w:bCs/>
          <w:bdr w:val="none" w:sz="0" w:space="0" w:color="auto" w:frame="1"/>
          <w:lang w:eastAsia="uk-UA"/>
        </w:rPr>
        <w:t>Рентна плата за спеціальне використання лісових ресурсів </w:t>
      </w:r>
      <w:r w:rsidRPr="00A40F64">
        <w:rPr>
          <w:bdr w:val="none" w:sz="0" w:space="0" w:color="auto" w:frame="1"/>
          <w:lang w:eastAsia="uk-UA"/>
        </w:rPr>
        <w:t> (</w:t>
      </w:r>
      <w:r w:rsidRPr="00A40F64">
        <w:rPr>
          <w:bdr w:val="none" w:sz="0" w:space="0" w:color="auto" w:frame="1"/>
          <w:lang w:val="uk-UA" w:eastAsia="uk-UA"/>
        </w:rPr>
        <w:t>1,9 відсотка</w:t>
      </w:r>
      <w:r w:rsidRPr="00A40F64">
        <w:rPr>
          <w:bdr w:val="none" w:sz="0" w:space="0" w:color="auto" w:frame="1"/>
          <w:lang w:eastAsia="uk-UA"/>
        </w:rPr>
        <w:t xml:space="preserve"> </w:t>
      </w:r>
      <w:r w:rsidRPr="00A40F64">
        <w:rPr>
          <w:bdr w:val="none" w:sz="0" w:space="0" w:color="auto" w:frame="1"/>
          <w:lang w:val="uk-UA" w:eastAsia="uk-UA"/>
        </w:rPr>
        <w:t xml:space="preserve">власних </w:t>
      </w:r>
      <w:r w:rsidRPr="00A40F64">
        <w:rPr>
          <w:bdr w:val="none" w:sz="0" w:space="0" w:color="auto" w:frame="1"/>
          <w:lang w:eastAsia="uk-UA"/>
        </w:rPr>
        <w:t>надходжень загального фонду) –</w:t>
      </w:r>
      <w:r w:rsidRPr="00A40F64">
        <w:rPr>
          <w:b/>
          <w:bCs/>
          <w:bdr w:val="none" w:sz="0" w:space="0" w:color="auto" w:frame="1"/>
          <w:lang w:eastAsia="uk-UA"/>
        </w:rPr>
        <w:t> </w:t>
      </w:r>
      <w:r w:rsidRPr="00A40F64">
        <w:rPr>
          <w:bdr w:val="none" w:sz="0" w:space="0" w:color="auto" w:frame="1"/>
          <w:lang w:val="uk-UA" w:eastAsia="uk-UA"/>
        </w:rPr>
        <w:t>1 325,5</w:t>
      </w:r>
      <w:r w:rsidRPr="00A40F64">
        <w:rPr>
          <w:bdr w:val="none" w:sz="0" w:space="0" w:color="auto" w:frame="1"/>
          <w:lang w:eastAsia="uk-UA"/>
        </w:rPr>
        <w:t xml:space="preserve"> тис</w:t>
      </w:r>
      <w:proofErr w:type="gramStart"/>
      <w:r w:rsidRPr="00A40F64">
        <w:rPr>
          <w:bdr w:val="none" w:sz="0" w:space="0" w:color="auto" w:frame="1"/>
          <w:lang w:eastAsia="uk-UA"/>
        </w:rPr>
        <w:t>.</w:t>
      </w:r>
      <w:proofErr w:type="gramEnd"/>
      <w:r w:rsidRPr="00A40F64">
        <w:rPr>
          <w:bdr w:val="none" w:sz="0" w:space="0" w:color="auto" w:frame="1"/>
          <w:lang w:eastAsia="uk-UA"/>
        </w:rPr>
        <w:t xml:space="preserve"> </w:t>
      </w:r>
      <w:proofErr w:type="gramStart"/>
      <w:r w:rsidRPr="00A40F64">
        <w:rPr>
          <w:bdr w:val="none" w:sz="0" w:space="0" w:color="auto" w:frame="1"/>
          <w:lang w:eastAsia="uk-UA"/>
        </w:rPr>
        <w:t>г</w:t>
      </w:r>
      <w:proofErr w:type="gramEnd"/>
      <w:r w:rsidRPr="00A40F64">
        <w:rPr>
          <w:bdr w:val="none" w:sz="0" w:space="0" w:color="auto" w:frame="1"/>
          <w:lang w:eastAsia="uk-UA"/>
        </w:rPr>
        <w:t xml:space="preserve">рн, при планових показниках </w:t>
      </w:r>
      <w:r w:rsidRPr="00A40F64">
        <w:rPr>
          <w:bdr w:val="none" w:sz="0" w:space="0" w:color="auto" w:frame="1"/>
          <w:lang w:val="uk-UA" w:eastAsia="uk-UA"/>
        </w:rPr>
        <w:t>1325,5</w:t>
      </w:r>
      <w:r w:rsidRPr="00A40F64">
        <w:rPr>
          <w:bdr w:val="none" w:sz="0" w:space="0" w:color="auto" w:frame="1"/>
          <w:lang w:eastAsia="uk-UA"/>
        </w:rPr>
        <w:t xml:space="preserve"> тис. грн.</w:t>
      </w:r>
      <w:r w:rsidRPr="00A40F64">
        <w:rPr>
          <w:lang w:val="uk-UA"/>
        </w:rPr>
        <w:t xml:space="preserve"> Порівняно із 2022 роком надходження рентної плати зменшились на 177,1 тис. грн або 11,8 відсотка.</w:t>
      </w:r>
    </w:p>
    <w:p w:rsidR="005E5AB4" w:rsidRPr="00A40F64" w:rsidRDefault="005E5AB4" w:rsidP="005E5AB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>Структура надходжень рентної плати</w:t>
      </w:r>
      <w:r w:rsidRPr="00A40F64">
        <w:rPr>
          <w:b/>
          <w:bCs/>
          <w:lang w:eastAsia="uk-UA"/>
        </w:rPr>
        <w:t xml:space="preserve"> за спеціальне використання лісових ресурсів</w:t>
      </w:r>
      <w:r w:rsidRPr="00A40F64">
        <w:rPr>
          <w:b/>
          <w:bCs/>
          <w:lang w:val="uk-UA" w:eastAsia="uk-UA"/>
        </w:rPr>
        <w:t xml:space="preserve"> за 2022-2023 роки</w:t>
      </w:r>
      <w:r w:rsidRPr="00A40F64">
        <w:rPr>
          <w:b/>
          <w:bCs/>
          <w:lang w:eastAsia="uk-UA"/>
        </w:rPr>
        <w:t> 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                                                                                                             тис. грн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  <w:r w:rsidRPr="00A40F64">
        <w:rPr>
          <w:color w:val="FF0000"/>
          <w:lang w:val="uk-UA"/>
        </w:rPr>
        <w:t xml:space="preserve">                                                                                                              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5505450" cy="2895600"/>
            <wp:effectExtent l="0" t="19050" r="0" b="0"/>
            <wp:docPr id="3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rPr>
          <w:lang w:val="uk-UA"/>
        </w:rPr>
      </w:pPr>
      <w:r w:rsidRPr="00A40F64">
        <w:rPr>
          <w:lang w:val="uk-UA"/>
        </w:rPr>
        <w:t>Причиною зменшення надходження до бюджету рентної плати за спеціальне використання лісових ресурсів  в порівнянні з аналогічним періодом минулого року є зменшення рубок на території нашої громади, що теж є наслідком введенням воєнного стану в країні.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pStyle w:val="af4"/>
        <w:tabs>
          <w:tab w:val="left" w:pos="709"/>
          <w:tab w:val="left" w:pos="1134"/>
        </w:tabs>
        <w:spacing w:before="0" w:after="0"/>
        <w:ind w:left="0"/>
        <w:rPr>
          <w:lang w:eastAsia="uk-UA"/>
        </w:rPr>
      </w:pPr>
      <w:r w:rsidRPr="00A40F64">
        <w:rPr>
          <w:b/>
        </w:rPr>
        <w:t>Неподаткових надходжень</w:t>
      </w:r>
      <w:r w:rsidRPr="00A40F64">
        <w:t xml:space="preserve"> протягом 2023 року до бюджету Верховинської селищної територіальної громади надійшло </w:t>
      </w:r>
      <w:r w:rsidRPr="00A40F64">
        <w:rPr>
          <w:b/>
        </w:rPr>
        <w:t>1 469,8 тис. грн</w:t>
      </w:r>
      <w:r w:rsidRPr="00A40F64">
        <w:t>, або 100,8 відсотка до уточнених показників. В загальній сумі надходжень до загального фонду (без урахування трансфертів)  вони  складають  2,1 відсотка.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Дані надходження </w:t>
      </w:r>
      <w:r w:rsidRPr="00A40F64">
        <w:rPr>
          <w:lang w:val="uk-UA"/>
        </w:rPr>
        <w:t>мають</w:t>
      </w:r>
      <w:r w:rsidRPr="00A40F64">
        <w:t xml:space="preserve"> несистематичний характер.</w:t>
      </w:r>
      <w:r w:rsidRPr="00A40F64">
        <w:rPr>
          <w:lang w:val="uk-UA"/>
        </w:rPr>
        <w:t xml:space="preserve"> В порівнянні з аналогічним періодом минулого року неподаткові надходження збільшилися на 139,1 тис. грн.</w:t>
      </w:r>
      <w:r w:rsidRPr="00A40F64">
        <w:t xml:space="preserve"> 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>Структуру неподаткових надходжень</w:t>
      </w:r>
      <w:r w:rsidRPr="00A40F64">
        <w:rPr>
          <w:lang w:val="uk-UA"/>
        </w:rPr>
        <w:t xml:space="preserve"> за 2023/2022 років </w:t>
      </w:r>
      <w:r w:rsidRPr="00A40F64">
        <w:t xml:space="preserve"> складають</w:t>
      </w:r>
      <w:r w:rsidRPr="00A40F64">
        <w:rPr>
          <w:lang w:val="uk-UA"/>
        </w:rPr>
        <w:t>: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</w:pPr>
      <w:r w:rsidRPr="00A40F64">
        <w:t xml:space="preserve">адміністративні послуги – </w:t>
      </w:r>
      <w:r w:rsidRPr="00A40F64">
        <w:rPr>
          <w:lang w:val="uk-UA"/>
        </w:rPr>
        <w:t>82,0 (84,6) відсотка;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</w:pPr>
      <w:r w:rsidRPr="00A40F64">
        <w:rPr>
          <w:lang w:val="uk-UA"/>
        </w:rPr>
        <w:t>державне мито – 3,5 (3,0) відсотка;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</w:pPr>
      <w:r w:rsidRPr="00A40F64">
        <w:t xml:space="preserve">інші неподаткові надходження – </w:t>
      </w:r>
      <w:r w:rsidRPr="00A40F64">
        <w:rPr>
          <w:lang w:val="uk-UA"/>
        </w:rPr>
        <w:t>5,8 (3,3) відсотка;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A40F64">
        <w:t xml:space="preserve">адміністративні штрафи та санкції – </w:t>
      </w:r>
      <w:r w:rsidRPr="00A40F64">
        <w:rPr>
          <w:lang w:val="uk-UA"/>
        </w:rPr>
        <w:t>8,7 (9,1) відсотка;</w:t>
      </w:r>
    </w:p>
    <w:p w:rsidR="005E5AB4" w:rsidRPr="00A40F64" w:rsidRDefault="005E5AB4" w:rsidP="005E5AB4">
      <w:pPr>
        <w:rPr>
          <w:lang w:val="uk-UA"/>
        </w:rPr>
      </w:pPr>
      <w:r w:rsidRPr="00A40F64">
        <w:rPr>
          <w:lang w:val="uk-UA"/>
        </w:rPr>
        <w:br w:type="page"/>
      </w:r>
    </w:p>
    <w:p w:rsidR="005E5AB4" w:rsidRPr="00A40F64" w:rsidRDefault="005E5AB4" w:rsidP="005E5AB4">
      <w:pPr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lastRenderedPageBreak/>
        <w:t>Порівняльний аналіз неподаткових надходжень за 2022-2023 роки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                                                                                                             тис. грн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153150" cy="3238500"/>
            <wp:effectExtent l="0" t="19050" r="0" b="0"/>
            <wp:docPr id="278" name="Объект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720"/>
          <w:tab w:val="left" w:pos="1728"/>
          <w:tab w:val="center" w:pos="4890"/>
        </w:tabs>
        <w:ind w:firstLine="709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720"/>
          <w:tab w:val="left" w:pos="1728"/>
          <w:tab w:val="center" w:pos="4890"/>
        </w:tabs>
        <w:ind w:firstLine="709"/>
        <w:jc w:val="both"/>
        <w:rPr>
          <w:b/>
          <w:lang w:val="uk-UA"/>
        </w:rPr>
      </w:pPr>
      <w:r w:rsidRPr="00A40F64">
        <w:rPr>
          <w:lang w:val="uk-UA"/>
        </w:rPr>
        <w:t>Надходження</w:t>
      </w:r>
      <w:r w:rsidRPr="00A40F64">
        <w:rPr>
          <w:b/>
          <w:lang w:val="uk-UA"/>
        </w:rPr>
        <w:t xml:space="preserve"> адміністративних штрафів та санкцій забезпечують</w:t>
      </w:r>
      <w:r w:rsidRPr="00A40F64">
        <w:rPr>
          <w:lang w:val="uk-UA"/>
        </w:rPr>
        <w:t xml:space="preserve"> адміністративні штрафи та штрафні санкції за порушення законодавства у сфері виробництва та обігу алкогольних напоїв та тютюнових виробів.</w:t>
      </w:r>
    </w:p>
    <w:p w:rsidR="005E5AB4" w:rsidRPr="00A40F64" w:rsidRDefault="005E5AB4" w:rsidP="005E5AB4">
      <w:pPr>
        <w:tabs>
          <w:tab w:val="left" w:pos="720"/>
          <w:tab w:val="left" w:pos="1728"/>
          <w:tab w:val="center" w:pos="4890"/>
        </w:tabs>
        <w:ind w:firstLine="709"/>
        <w:rPr>
          <w:b/>
          <w:lang w:val="uk-UA"/>
        </w:rPr>
      </w:pPr>
    </w:p>
    <w:p w:rsidR="005E5AB4" w:rsidRPr="00A40F64" w:rsidRDefault="005E5AB4" w:rsidP="005E5AB4">
      <w:pPr>
        <w:tabs>
          <w:tab w:val="left" w:pos="720"/>
          <w:tab w:val="left" w:pos="1728"/>
          <w:tab w:val="center" w:pos="4890"/>
        </w:tabs>
        <w:ind w:firstLine="709"/>
        <w:rPr>
          <w:lang w:val="uk-UA"/>
        </w:rPr>
      </w:pPr>
      <w:r w:rsidRPr="00A40F64">
        <w:rPr>
          <w:b/>
          <w:lang w:val="uk-UA"/>
        </w:rPr>
        <w:t>Адміністративні послуги</w:t>
      </w:r>
      <w:r w:rsidRPr="00A40F64">
        <w:rPr>
          <w:lang w:val="uk-UA"/>
        </w:rPr>
        <w:t xml:space="preserve"> складають:</w:t>
      </w:r>
    </w:p>
    <w:p w:rsidR="005E5AB4" w:rsidRPr="00A40F64" w:rsidRDefault="005E5AB4" w:rsidP="005E5AB4">
      <w:pPr>
        <w:pStyle w:val="a7"/>
        <w:numPr>
          <w:ilvl w:val="0"/>
          <w:numId w:val="26"/>
        </w:numPr>
        <w:tabs>
          <w:tab w:val="left" w:pos="720"/>
          <w:tab w:val="left" w:pos="1728"/>
          <w:tab w:val="center" w:pos="4890"/>
        </w:tabs>
        <w:spacing w:after="200" w:line="276" w:lineRule="auto"/>
        <w:ind w:left="0" w:firstLine="709"/>
        <w:jc w:val="both"/>
      </w:pPr>
      <w:r w:rsidRPr="00A40F64">
        <w:rPr>
          <w:b/>
          <w:snapToGrid w:val="0"/>
        </w:rPr>
        <w:t>адміністративний збі</w:t>
      </w:r>
      <w:proofErr w:type="gramStart"/>
      <w:r w:rsidRPr="00A40F64">
        <w:rPr>
          <w:b/>
          <w:snapToGrid w:val="0"/>
        </w:rPr>
        <w:t>р</w:t>
      </w:r>
      <w:proofErr w:type="gramEnd"/>
      <w:r w:rsidRPr="00A40F64">
        <w:rPr>
          <w:b/>
          <w:snapToGrid w:val="0"/>
        </w:rPr>
        <w:t xml:space="preserve"> за державну реєстрацію речових прав на нерухоме майно та їх обтяжень</w:t>
      </w:r>
      <w:r w:rsidRPr="00A40F64">
        <w:rPr>
          <w:snapToGrid w:val="0"/>
        </w:rPr>
        <w:t>,</w:t>
      </w:r>
      <w:r w:rsidRPr="00A40F64">
        <w:rPr>
          <w:b/>
          <w:snapToGrid w:val="0"/>
        </w:rPr>
        <w:t xml:space="preserve"> </w:t>
      </w:r>
      <w:r w:rsidRPr="00A40F64">
        <w:rPr>
          <w:snapToGrid w:val="0"/>
        </w:rPr>
        <w:t>яка здійснюється державним реєстратором селищної ради</w:t>
      </w:r>
      <w:r w:rsidRPr="00A40F64">
        <w:rPr>
          <w:b/>
          <w:snapToGrid w:val="0"/>
        </w:rPr>
        <w:t xml:space="preserve">  </w:t>
      </w:r>
      <w:r w:rsidRPr="00A40F64">
        <w:rPr>
          <w:snapToGrid w:val="0"/>
        </w:rPr>
        <w:t>в сумі 221,3 тис. грн;</w:t>
      </w:r>
    </w:p>
    <w:p w:rsidR="005E5AB4" w:rsidRPr="00A40F64" w:rsidRDefault="005E5AB4" w:rsidP="005E5AB4">
      <w:pPr>
        <w:pStyle w:val="a7"/>
        <w:numPr>
          <w:ilvl w:val="0"/>
          <w:numId w:val="26"/>
        </w:numPr>
        <w:tabs>
          <w:tab w:val="left" w:pos="720"/>
          <w:tab w:val="left" w:pos="1728"/>
          <w:tab w:val="center" w:pos="4890"/>
        </w:tabs>
        <w:spacing w:after="200" w:line="276" w:lineRule="auto"/>
        <w:ind w:left="0" w:firstLine="709"/>
      </w:pPr>
      <w:r w:rsidRPr="00A40F64">
        <w:rPr>
          <w:b/>
        </w:rPr>
        <w:t>плата за надання інших адміністративних послуг</w:t>
      </w:r>
      <w:r w:rsidRPr="00A40F64">
        <w:rPr>
          <w:b/>
          <w:bCs/>
        </w:rPr>
        <w:t xml:space="preserve"> </w:t>
      </w:r>
      <w:r w:rsidRPr="00A40F64">
        <w:t>– 983,8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з них: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  <w:rPr>
          <w:snapToGrid w:val="0"/>
        </w:rPr>
      </w:pPr>
      <w:r w:rsidRPr="00A40F64">
        <w:t xml:space="preserve">надходження від </w:t>
      </w:r>
      <w:r w:rsidRPr="00A40F64">
        <w:rPr>
          <w:snapToGrid w:val="0"/>
        </w:rPr>
        <w:t>ГУ ДМС за оформлення паспортів склали 772,5 тис</w:t>
      </w:r>
      <w:proofErr w:type="gramStart"/>
      <w:r w:rsidRPr="00A40F64">
        <w:rPr>
          <w:snapToGrid w:val="0"/>
        </w:rPr>
        <w:t>.</w:t>
      </w:r>
      <w:proofErr w:type="gramEnd"/>
      <w:r w:rsidRPr="00A40F64">
        <w:rPr>
          <w:snapToGrid w:val="0"/>
        </w:rPr>
        <w:t xml:space="preserve"> </w:t>
      </w:r>
      <w:proofErr w:type="gramStart"/>
      <w:r w:rsidRPr="00A40F64">
        <w:rPr>
          <w:snapToGrid w:val="0"/>
        </w:rPr>
        <w:t>г</w:t>
      </w:r>
      <w:proofErr w:type="gramEnd"/>
      <w:r w:rsidRPr="00A40F64">
        <w:rPr>
          <w:snapToGrid w:val="0"/>
        </w:rPr>
        <w:t>рн;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  <w:rPr>
          <w:snapToGrid w:val="0"/>
        </w:rPr>
      </w:pPr>
      <w:r w:rsidRPr="00A40F64">
        <w:rPr>
          <w:snapToGrid w:val="0"/>
        </w:rPr>
        <w:t>надходження від філії ГСЦ МВС (МРЕО) за реєстрацію, перереєстрацію транспортних засобів та заміну водійських прав (наданих через ЦНАП) склали 6,4 тис</w:t>
      </w:r>
      <w:proofErr w:type="gramStart"/>
      <w:r w:rsidRPr="00A40F64">
        <w:rPr>
          <w:snapToGrid w:val="0"/>
        </w:rPr>
        <w:t>.</w:t>
      </w:r>
      <w:proofErr w:type="gramEnd"/>
      <w:r w:rsidRPr="00A40F64">
        <w:rPr>
          <w:snapToGrid w:val="0"/>
        </w:rPr>
        <w:t xml:space="preserve"> </w:t>
      </w:r>
      <w:proofErr w:type="gramStart"/>
      <w:r w:rsidRPr="00A40F64">
        <w:rPr>
          <w:snapToGrid w:val="0"/>
        </w:rPr>
        <w:t>г</w:t>
      </w:r>
      <w:proofErr w:type="gramEnd"/>
      <w:r w:rsidRPr="00A40F64">
        <w:rPr>
          <w:snapToGrid w:val="0"/>
        </w:rPr>
        <w:t>рн;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  <w:rPr>
          <w:snapToGrid w:val="0"/>
        </w:rPr>
      </w:pPr>
      <w:r w:rsidRPr="00A40F64">
        <w:t>надання адміністративних послуг у земельній сфері, наданих центром адміністративних послуг селищної ради – 148,1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  <w:rPr>
          <w:snapToGrid w:val="0"/>
        </w:rPr>
      </w:pPr>
      <w:r w:rsidRPr="00A40F64">
        <w:rPr>
          <w:snapToGrid w:val="0"/>
        </w:rPr>
        <w:t>надходження за реєстрацію /зняття з реєстрації місця проживання громадян, яка здійснюється селищною радою, склали 41,8 тис</w:t>
      </w:r>
      <w:proofErr w:type="gramStart"/>
      <w:r w:rsidRPr="00A40F64">
        <w:rPr>
          <w:snapToGrid w:val="0"/>
        </w:rPr>
        <w:t>.г</w:t>
      </w:r>
      <w:proofErr w:type="gramEnd"/>
      <w:r w:rsidRPr="00A40F64">
        <w:rPr>
          <w:snapToGrid w:val="0"/>
        </w:rPr>
        <w:t xml:space="preserve">рн; 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</w:pPr>
      <w:r w:rsidRPr="00A40F64">
        <w:rPr>
          <w:snapToGrid w:val="0"/>
        </w:rPr>
        <w:t>за видачу фітосанітарних сертифікатів -  15,0 тис</w:t>
      </w:r>
      <w:proofErr w:type="gramStart"/>
      <w:r w:rsidRPr="00A40F64">
        <w:rPr>
          <w:snapToGrid w:val="0"/>
        </w:rPr>
        <w:t>.</w:t>
      </w:r>
      <w:proofErr w:type="gramEnd"/>
      <w:r w:rsidRPr="00A40F64">
        <w:rPr>
          <w:snapToGrid w:val="0"/>
        </w:rPr>
        <w:t xml:space="preserve"> </w:t>
      </w:r>
      <w:proofErr w:type="gramStart"/>
      <w:r w:rsidRPr="00A40F64">
        <w:rPr>
          <w:snapToGrid w:val="0"/>
        </w:rPr>
        <w:t>г</w:t>
      </w:r>
      <w:proofErr w:type="gramEnd"/>
      <w:r w:rsidRPr="00A40F64">
        <w:rPr>
          <w:snapToGrid w:val="0"/>
        </w:rPr>
        <w:t>рн.</w:t>
      </w:r>
    </w:p>
    <w:p w:rsidR="005E5AB4" w:rsidRPr="00A40F64" w:rsidRDefault="005E5AB4" w:rsidP="005E5AB4">
      <w:pPr>
        <w:tabs>
          <w:tab w:val="left" w:pos="0"/>
        </w:tabs>
        <w:suppressAutoHyphens/>
        <w:jc w:val="both"/>
      </w:pPr>
      <w:r w:rsidRPr="00A40F64">
        <w:rPr>
          <w:lang w:val="uk-UA"/>
        </w:rPr>
        <w:t xml:space="preserve">           </w:t>
      </w:r>
      <w:r w:rsidRPr="00A40F64">
        <w:t>Надходження</w:t>
      </w:r>
      <w:r w:rsidRPr="00A40F64">
        <w:rPr>
          <w:b/>
        </w:rPr>
        <w:t xml:space="preserve"> державного мита </w:t>
      </w:r>
      <w:r w:rsidRPr="00A40F64">
        <w:t>складають: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</w:pPr>
      <w:r w:rsidRPr="00A40F64">
        <w:t>державне мито, що сплачується за місцем розгляду та оформлення документів, у тому числі за оформлення документів на спадщину і дарування в сумі 47,5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</w:t>
      </w:r>
      <w:r w:rsidRPr="00A40F64">
        <w:rPr>
          <w:snapToGrid w:val="0"/>
        </w:rPr>
        <w:t>;</w:t>
      </w:r>
      <w:r w:rsidRPr="00A40F64">
        <w:t> </w:t>
      </w:r>
    </w:p>
    <w:p w:rsidR="005E5AB4" w:rsidRPr="00A40F64" w:rsidRDefault="005E5AB4" w:rsidP="005E5AB4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</w:pPr>
      <w:r w:rsidRPr="00A40F64">
        <w:t>державне мито, пов</w:t>
      </w:r>
      <w:proofErr w:type="gramStart"/>
      <w:r w:rsidRPr="00A40F64">
        <w:t>`я</w:t>
      </w:r>
      <w:proofErr w:type="gramEnd"/>
      <w:r w:rsidRPr="00A40F64">
        <w:t>зане з видачею та оформленням закордонних паспортів (посвідок) та паспортів громадян України - 4,0 тис. грн.</w:t>
      </w:r>
    </w:p>
    <w:p w:rsidR="005E5AB4" w:rsidRPr="00A40F64" w:rsidRDefault="005E5AB4" w:rsidP="005E5AB4">
      <w:pPr>
        <w:tabs>
          <w:tab w:val="left" w:pos="0"/>
        </w:tabs>
        <w:suppressAutoHyphens/>
        <w:jc w:val="both"/>
        <w:rPr>
          <w:lang w:val="uk-UA"/>
        </w:rPr>
      </w:pPr>
      <w:r w:rsidRPr="00A40F64">
        <w:rPr>
          <w:b/>
          <w:lang w:val="uk-UA"/>
        </w:rPr>
        <w:t xml:space="preserve">            Інші неподаткові надходження</w:t>
      </w:r>
      <w:r w:rsidRPr="00A40F64">
        <w:rPr>
          <w:lang w:val="uk-UA"/>
        </w:rPr>
        <w:t xml:space="preserve"> селищного бюджету складають 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- 44,3 тис. грн.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lang w:val="uk-UA" w:eastAsia="uk-UA"/>
        </w:rPr>
      </w:pPr>
      <w:r w:rsidRPr="00A40F64">
        <w:rPr>
          <w:lang w:val="uk-UA"/>
        </w:rPr>
        <w:t>Порівняно з відповідним періодом минулого року надходження збільшились на 11,4 тис. грн або 28,4 відсотка</w:t>
      </w:r>
      <w:r w:rsidRPr="00A40F64">
        <w:rPr>
          <w:lang w:val="uk-UA" w:eastAsia="uk-UA"/>
        </w:rPr>
        <w:t>.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lang w:val="uk-UA" w:eastAsia="uk-UA"/>
        </w:rPr>
      </w:pPr>
    </w:p>
    <w:p w:rsidR="005E5AB4" w:rsidRPr="00A40F64" w:rsidRDefault="005E5AB4" w:rsidP="005E5AB4">
      <w:pPr>
        <w:pStyle w:val="10"/>
        <w:widowControl w:val="0"/>
        <w:ind w:left="0" w:firstLine="567"/>
        <w:jc w:val="center"/>
        <w:rPr>
          <w:b/>
          <w:bCs/>
          <w:sz w:val="24"/>
          <w:szCs w:val="24"/>
        </w:rPr>
      </w:pPr>
      <w:r w:rsidRPr="00A40F64">
        <w:rPr>
          <w:b/>
          <w:bCs/>
          <w:sz w:val="24"/>
          <w:szCs w:val="24"/>
        </w:rPr>
        <w:t>ДОХОДИ СПЕЦІАЛЬНОГО ФОНДУ СЕЛИЩНОГО БЮДЖЕТУ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tabs>
          <w:tab w:val="left" w:pos="720"/>
          <w:tab w:val="left" w:pos="1728"/>
          <w:tab w:val="center" w:pos="4890"/>
        </w:tabs>
        <w:ind w:firstLine="709"/>
        <w:jc w:val="both"/>
      </w:pPr>
      <w:r w:rsidRPr="00A40F64">
        <w:rPr>
          <w:b/>
          <w:lang w:val="uk-UA"/>
        </w:rPr>
        <w:tab/>
        <w:t xml:space="preserve"> </w:t>
      </w:r>
      <w:r w:rsidRPr="00A40F64">
        <w:t xml:space="preserve">До </w:t>
      </w:r>
      <w:r w:rsidRPr="00A40F64">
        <w:rPr>
          <w:b/>
        </w:rPr>
        <w:t xml:space="preserve">спеціального фонду </w:t>
      </w:r>
      <w:r w:rsidRPr="00A40F64">
        <w:t>селищного бюджету</w:t>
      </w:r>
      <w:r w:rsidRPr="00A40F64">
        <w:rPr>
          <w:lang w:val="uk-UA"/>
        </w:rPr>
        <w:t>,</w:t>
      </w:r>
      <w:r w:rsidRPr="00A40F64">
        <w:t xml:space="preserve"> з урахуванням офіційних трансфертів</w:t>
      </w:r>
      <w:r w:rsidRPr="00A40F64">
        <w:rPr>
          <w:lang w:val="uk-UA"/>
        </w:rPr>
        <w:t>,</w:t>
      </w:r>
      <w:r w:rsidRPr="00A40F64">
        <w:t xml:space="preserve"> надійшло </w:t>
      </w:r>
      <w:r w:rsidRPr="00A40F64">
        <w:rPr>
          <w:lang w:val="uk-UA"/>
        </w:rPr>
        <w:t>22 397,8</w:t>
      </w:r>
      <w:r w:rsidRPr="00A40F64">
        <w:t xml:space="preserve"> тис</w:t>
      </w:r>
      <w:proofErr w:type="gramStart"/>
      <w:r w:rsidRPr="00A40F64">
        <w:t>.г</w:t>
      </w:r>
      <w:proofErr w:type="gramEnd"/>
      <w:r w:rsidRPr="00A40F64">
        <w:t>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Доходів до спеціального фонду (без врахування трансфертів) отримано </w:t>
      </w:r>
      <w:r w:rsidRPr="00A40F64">
        <w:rPr>
          <w:lang w:val="uk-UA"/>
        </w:rPr>
        <w:t xml:space="preserve">     16 657,6 </w:t>
      </w:r>
      <w:r w:rsidRPr="00A40F64">
        <w:t>тис</w:t>
      </w:r>
      <w:proofErr w:type="gramStart"/>
      <w:r w:rsidRPr="00A40F64">
        <w:t>.г</w:t>
      </w:r>
      <w:proofErr w:type="gramEnd"/>
      <w:r w:rsidRPr="00A40F64">
        <w:t>рн</w:t>
      </w:r>
      <w:r w:rsidRPr="00A40F64">
        <w:rPr>
          <w:lang w:val="uk-UA"/>
        </w:rPr>
        <w:t>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</w:rPr>
        <w:t>Екологічного податку</w:t>
      </w:r>
      <w:r w:rsidRPr="00A40F64">
        <w:t xml:space="preserve"> надійшло </w:t>
      </w:r>
      <w:r w:rsidRPr="00A40F64">
        <w:rPr>
          <w:lang w:val="uk-UA"/>
        </w:rPr>
        <w:t xml:space="preserve">22,6 </w:t>
      </w:r>
      <w:r w:rsidRPr="00A40F64">
        <w:t>тис</w:t>
      </w:r>
      <w:proofErr w:type="gramStart"/>
      <w:r w:rsidRPr="00A40F64">
        <w:t>.г</w:t>
      </w:r>
      <w:proofErr w:type="gramEnd"/>
      <w:r w:rsidRPr="00A40F64">
        <w:t xml:space="preserve">рн, або </w:t>
      </w:r>
      <w:r w:rsidRPr="00A40F64">
        <w:rPr>
          <w:lang w:val="uk-UA"/>
        </w:rPr>
        <w:t>169,8</w:t>
      </w:r>
      <w:r w:rsidRPr="00A40F64">
        <w:t xml:space="preserve"> </w:t>
      </w:r>
      <w:r w:rsidRPr="00A40F64">
        <w:rPr>
          <w:lang w:val="uk-UA"/>
        </w:rPr>
        <w:t>відсотка</w:t>
      </w:r>
      <w:r w:rsidRPr="00A40F64">
        <w:t xml:space="preserve"> до </w:t>
      </w:r>
      <w:r w:rsidRPr="00A40F64">
        <w:rPr>
          <w:lang w:val="uk-UA"/>
        </w:rPr>
        <w:t xml:space="preserve">уточненого </w:t>
      </w:r>
      <w:r w:rsidRPr="00A40F64">
        <w:t>річного плану (</w:t>
      </w:r>
      <w:r w:rsidRPr="00A40F64">
        <w:rPr>
          <w:lang w:val="uk-UA"/>
        </w:rPr>
        <w:t xml:space="preserve">13,3 </w:t>
      </w:r>
      <w:r w:rsidRPr="00A40F64">
        <w:t>тис.грн).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>Інших неподаткових надходжень</w:t>
      </w:r>
      <w:r w:rsidRPr="00A40F64">
        <w:rPr>
          <w:lang w:val="uk-UA"/>
        </w:rPr>
        <w:t xml:space="preserve"> надійшло 118,0 тис. грн, що більше на 111,3 тис. грн до надходжень попереднього року.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>Власні надходження бюджетних установ</w:t>
      </w:r>
      <w:r w:rsidRPr="00A40F64">
        <w:rPr>
          <w:lang w:val="uk-UA"/>
        </w:rPr>
        <w:t xml:space="preserve"> спеціального фонду бюджету Верховинської селищної територіальної громади забезпечено в сумі 15 580,0 тис. грн, та в порівнянні з аналогічним періодом минулого року зменшилися на 305,7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</w:t>
      </w:r>
      <w:r w:rsidRPr="00A40F64">
        <w:t xml:space="preserve">Структуру </w:t>
      </w:r>
      <w:r w:rsidRPr="00A40F64">
        <w:rPr>
          <w:lang w:val="uk-UA"/>
        </w:rPr>
        <w:t xml:space="preserve">власних надходжень бюджетних установ за 2023/2022 роки </w:t>
      </w:r>
      <w:r w:rsidRPr="00A40F64">
        <w:t xml:space="preserve"> складають</w:t>
      </w:r>
      <w:r w:rsidRPr="00A40F64">
        <w:rPr>
          <w:lang w:val="uk-UA"/>
        </w:rPr>
        <w:t>: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благодійні внески, гранти, дарунки (безоплатне надходження продуктів, засобів гігієни, матеріальних цінностей, самооподаткування) – 68,3  (79,9) відсотка;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</w:pPr>
      <w:r w:rsidRPr="00A40F64">
        <w:rPr>
          <w:lang w:val="uk-UA"/>
        </w:rPr>
        <w:t xml:space="preserve">плата за </w:t>
      </w:r>
      <w:r w:rsidRPr="00A40F64">
        <w:t>послуги</w:t>
      </w:r>
      <w:r w:rsidRPr="00A40F64">
        <w:rPr>
          <w:lang w:val="uk-UA"/>
        </w:rPr>
        <w:t>, що надаються бюджетними установами згідно з їх основною діяльністю (батьківська плата, плата за довідки,15 відсотків від продажу землі)</w:t>
      </w:r>
      <w:r w:rsidRPr="00A40F64">
        <w:t xml:space="preserve"> – </w:t>
      </w:r>
      <w:r w:rsidRPr="00A40F64">
        <w:rPr>
          <w:lang w:val="uk-UA"/>
        </w:rPr>
        <w:t>25,0 (16,6) відсотка</w:t>
      </w:r>
      <w:r w:rsidRPr="00A40F64">
        <w:t>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</w:pPr>
      <w:r w:rsidRPr="00A40F64">
        <w:rPr>
          <w:lang w:val="uk-UA"/>
        </w:rPr>
        <w:t>надходження бюджетних установ від підприємств, установ, фізичних осіб (надходження від пенсії у розмірі 75 відсотків, підопічних, які перебувають у стаціонарі ВТЦ )</w:t>
      </w:r>
      <w:r w:rsidRPr="00A40F64">
        <w:t xml:space="preserve"> – </w:t>
      </w:r>
      <w:r w:rsidRPr="00A40F64">
        <w:rPr>
          <w:lang w:val="uk-UA"/>
        </w:rPr>
        <w:t>6,5  (3,3) відсотка</w:t>
      </w:r>
      <w:r w:rsidRPr="00A40F64">
        <w:t>;</w:t>
      </w:r>
    </w:p>
    <w:p w:rsidR="005E5AB4" w:rsidRPr="00A40F64" w:rsidRDefault="005E5AB4" w:rsidP="005E5AB4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плата за оренду майна бюджетних установ </w:t>
      </w:r>
      <w:r w:rsidRPr="00A40F64">
        <w:t xml:space="preserve">– </w:t>
      </w:r>
      <w:r w:rsidRPr="00A40F64">
        <w:rPr>
          <w:lang w:val="uk-UA"/>
        </w:rPr>
        <w:t>0,2  (0,2  ) відсотка.</w:t>
      </w:r>
    </w:p>
    <w:p w:rsidR="005E5AB4" w:rsidRPr="00A40F64" w:rsidRDefault="005E5AB4" w:rsidP="005E5AB4">
      <w:pPr>
        <w:rPr>
          <w:lang w:val="uk-UA"/>
        </w:rPr>
      </w:pPr>
      <w:r w:rsidRPr="00A40F64">
        <w:rPr>
          <w:lang w:val="uk-UA"/>
        </w:rPr>
        <w:br w:type="page"/>
      </w:r>
    </w:p>
    <w:p w:rsidR="005E5AB4" w:rsidRPr="00A40F64" w:rsidRDefault="005E5AB4" w:rsidP="005E5AB4">
      <w:pPr>
        <w:ind w:left="1069"/>
        <w:rPr>
          <w:b/>
          <w:lang w:val="uk-UA"/>
        </w:rPr>
      </w:pPr>
      <w:r w:rsidRPr="00A40F64">
        <w:rPr>
          <w:b/>
          <w:lang w:val="uk-UA"/>
        </w:rPr>
        <w:lastRenderedPageBreak/>
        <w:t>Структура власних надходжень бюджетних установ за 2023 рік</w:t>
      </w:r>
    </w:p>
    <w:p w:rsidR="005E5AB4" w:rsidRPr="00A40F64" w:rsidRDefault="005E5AB4" w:rsidP="005E5AB4">
      <w:pPr>
        <w:ind w:left="1069"/>
        <w:jc w:val="both"/>
        <w:rPr>
          <w:lang w:val="uk-UA"/>
        </w:rPr>
      </w:pPr>
      <w:r w:rsidRPr="00A40F64">
        <w:rPr>
          <w:lang w:val="uk-UA"/>
        </w:rPr>
        <w:t xml:space="preserve">                                                                                                              тис. грн</w:t>
      </w:r>
    </w:p>
    <w:p w:rsidR="005E5AB4" w:rsidRPr="00A40F64" w:rsidRDefault="005E5AB4" w:rsidP="005E5AB4">
      <w:pPr>
        <w:ind w:left="106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181725" cy="2571750"/>
            <wp:effectExtent l="0" t="0" r="0" b="0"/>
            <wp:docPr id="2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AB4" w:rsidRPr="00A40F64" w:rsidRDefault="005E5AB4" w:rsidP="005E5AB4">
      <w:pPr>
        <w:ind w:left="106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b/>
          <w:color w:val="FF0000"/>
        </w:rPr>
      </w:pP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b/>
        </w:rPr>
      </w:pPr>
    </w:p>
    <w:p w:rsidR="005E5AB4" w:rsidRPr="00A40F64" w:rsidRDefault="005E5AB4" w:rsidP="005E5AB4">
      <w:pPr>
        <w:tabs>
          <w:tab w:val="left" w:pos="720"/>
        </w:tabs>
        <w:ind w:firstLine="709"/>
        <w:jc w:val="both"/>
        <w:rPr>
          <w:lang w:val="uk-UA"/>
        </w:rPr>
      </w:pPr>
      <w:r w:rsidRPr="00A40F64">
        <w:rPr>
          <w:b/>
          <w:lang w:val="uk-UA"/>
        </w:rPr>
        <w:t>Надходження від продажу землі</w:t>
      </w:r>
      <w:r w:rsidRPr="00A40F64">
        <w:rPr>
          <w:lang w:val="uk-UA"/>
        </w:rPr>
        <w:t xml:space="preserve"> за 2023 рік становить 674,6 тис. грн, що на 1 660,0 тис. грн менше надходжень минулого року.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>Надходження цільового фонду</w:t>
      </w:r>
      <w:r w:rsidRPr="00A40F64">
        <w:rPr>
          <w:lang w:val="uk-UA"/>
        </w:rPr>
        <w:t xml:space="preserve"> за звітний період склали 172,4 тис. грн, а за 2022 рік – 67,7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color w:val="FF0000"/>
          <w:lang w:val="uk-UA"/>
        </w:rPr>
        <w:t xml:space="preserve">  </w:t>
      </w:r>
      <w:r w:rsidRPr="00A40F64">
        <w:rPr>
          <w:b/>
          <w:lang w:val="uk-UA"/>
        </w:rPr>
        <w:t xml:space="preserve">Офіційних трансфертів </w:t>
      </w:r>
      <w:r w:rsidRPr="00A40F64">
        <w:rPr>
          <w:lang w:val="uk-UA"/>
        </w:rPr>
        <w:t xml:space="preserve">від органів державного управління до бюджету Верховинської селищної територіальної громади за 2023 рік надійшло 173 151,7 тис. грн, або 99,3 відсотка до уточненого річного плану (174 331,5 тис. грн). 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У повному обсязі до плану на </w:t>
      </w:r>
      <w:proofErr w:type="gramStart"/>
      <w:r w:rsidRPr="00A40F64">
        <w:t>р</w:t>
      </w:r>
      <w:proofErr w:type="gramEnd"/>
      <w:r w:rsidRPr="00A40F64">
        <w:t>ік з державного бюджету отримано</w:t>
      </w:r>
      <w:r w:rsidRPr="00A40F64">
        <w:rPr>
          <w:lang w:val="uk-UA"/>
        </w:rPr>
        <w:t>:</w:t>
      </w:r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</w:pPr>
      <w:r w:rsidRPr="00A40F64">
        <w:rPr>
          <w:lang w:val="uk-UA"/>
        </w:rPr>
        <w:t xml:space="preserve">базову дотацію (31 261,3 тис. грн); </w:t>
      </w:r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</w:pPr>
      <w:r w:rsidRPr="00A40F64">
        <w:rPr>
          <w:lang w:val="uk-UA"/>
        </w:rPr>
        <w:t xml:space="preserve">освітню субвенцію </w:t>
      </w:r>
      <w:r w:rsidRPr="00A40F64">
        <w:t>(</w:t>
      </w:r>
      <w:r w:rsidRPr="00A40F64">
        <w:rPr>
          <w:lang w:val="uk-UA"/>
        </w:rPr>
        <w:t>122 100,7</w:t>
      </w:r>
      <w:r w:rsidRPr="00A40F64">
        <w:t xml:space="preserve"> тис.</w:t>
      </w:r>
      <w:r w:rsidRPr="00A40F64">
        <w:rPr>
          <w:lang w:val="uk-UA"/>
        </w:rPr>
        <w:t xml:space="preserve"> </w:t>
      </w:r>
      <w:proofErr w:type="gramStart"/>
      <w:r w:rsidRPr="00A40F64">
        <w:t>грн)</w:t>
      </w:r>
      <w:r w:rsidRPr="00A40F64">
        <w:rPr>
          <w:lang w:val="uk-UA"/>
        </w:rPr>
        <w:t>;</w:t>
      </w:r>
      <w:proofErr w:type="gramEnd"/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</w:pPr>
      <w:r w:rsidRPr="00A40F64">
        <w:rPr>
          <w:lang w:val="uk-UA"/>
        </w:rPr>
        <w:t>д</w:t>
      </w:r>
      <w:r w:rsidRPr="00A40F64">
        <w:t>одатков</w:t>
      </w:r>
      <w:r w:rsidRPr="00A40F64">
        <w:rPr>
          <w:lang w:val="uk-UA"/>
        </w:rPr>
        <w:t>у</w:t>
      </w:r>
      <w:r w:rsidRPr="00A40F64">
        <w:t xml:space="preserve"> дотаці</w:t>
      </w:r>
      <w:r w:rsidRPr="00A40F64">
        <w:rPr>
          <w:lang w:val="uk-UA"/>
        </w:rPr>
        <w:t>ю</w:t>
      </w:r>
      <w:r w:rsidRPr="00A40F64">
        <w:t xml:space="preserve">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зв`язку з повномасштабною збройною агрес</w:t>
      </w:r>
      <w:r w:rsidRPr="00A40F64">
        <w:rPr>
          <w:lang w:val="uk-UA"/>
        </w:rPr>
        <w:t xml:space="preserve">ією </w:t>
      </w:r>
      <w:r w:rsidRPr="00A40F64">
        <w:t>(</w:t>
      </w:r>
      <w:r w:rsidRPr="00A40F64">
        <w:rPr>
          <w:lang w:val="uk-UA"/>
        </w:rPr>
        <w:t>5 988,2</w:t>
      </w:r>
      <w:r w:rsidRPr="00A40F64">
        <w:t xml:space="preserve"> тис.</w:t>
      </w:r>
      <w:r w:rsidRPr="00A40F64">
        <w:rPr>
          <w:lang w:val="uk-UA"/>
        </w:rPr>
        <w:t xml:space="preserve"> </w:t>
      </w:r>
      <w:proofErr w:type="gramStart"/>
      <w:r w:rsidRPr="00A40F64">
        <w:t>грн)</w:t>
      </w:r>
      <w:r w:rsidRPr="00A40F64">
        <w:rPr>
          <w:lang w:val="uk-UA"/>
        </w:rPr>
        <w:t>;</w:t>
      </w:r>
      <w:proofErr w:type="gramEnd"/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</w:pPr>
      <w:r w:rsidRPr="00A40F64">
        <w:rPr>
          <w:shd w:val="clear" w:color="auto" w:fill="FFFFFF"/>
          <w:lang w:val="uk-UA"/>
        </w:rPr>
        <w:t>д</w:t>
      </w:r>
      <w:r w:rsidRPr="00A40F64">
        <w:rPr>
          <w:shd w:val="clear" w:color="auto" w:fill="FFFFFF"/>
        </w:rPr>
        <w:t>отаці</w:t>
      </w:r>
      <w:r w:rsidRPr="00A40F64">
        <w:rPr>
          <w:shd w:val="clear" w:color="auto" w:fill="FFFFFF"/>
          <w:lang w:val="uk-UA"/>
        </w:rPr>
        <w:t>ю</w:t>
      </w:r>
      <w:r w:rsidRPr="00A40F64">
        <w:rPr>
          <w:shd w:val="clear" w:color="auto" w:fill="FFFFFF"/>
        </w:rPr>
        <w:t xml:space="preserve"> на утримання закладів освіти та охорони здоров'я</w:t>
      </w:r>
      <w:r w:rsidRPr="00A40F64">
        <w:rPr>
          <w:shd w:val="clear" w:color="auto" w:fill="FFFFFF"/>
          <w:lang w:val="uk-UA"/>
        </w:rPr>
        <w:t xml:space="preserve"> (2 170,1               тис.грн)</w:t>
      </w:r>
      <w:r w:rsidRPr="00A40F64">
        <w:rPr>
          <w:lang w:val="uk-UA"/>
        </w:rPr>
        <w:t>;</w:t>
      </w:r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</w:pPr>
      <w:r w:rsidRPr="00A40F64">
        <w:rPr>
          <w:lang w:val="uk-UA"/>
        </w:rPr>
        <w:t>іншу дотацію (382,9 тис. грн), (компенсація на відшкодування енергоносіїв для установ у яких тимчасово проживають ВПО);</w:t>
      </w:r>
      <w:r w:rsidRPr="00A40F64">
        <w:rPr>
          <w:shd w:val="clear" w:color="auto" w:fill="FFFFFF"/>
        </w:rPr>
        <w:t xml:space="preserve"> </w:t>
      </w:r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субвенцію для надання державної підтримки особам з особливими освітніми вадами (395,6 тис. грн);</w:t>
      </w:r>
    </w:p>
    <w:p w:rsidR="005E5AB4" w:rsidRPr="00A40F64" w:rsidRDefault="005E5AB4" w:rsidP="005E5AB4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субвенцію для інклюзивно-ресурсного центру (1594,6 тис. грн).</w:t>
      </w:r>
    </w:p>
    <w:p w:rsidR="005E5AB4" w:rsidRPr="00A40F64" w:rsidRDefault="005E5AB4" w:rsidP="005E5AB4">
      <w:pPr>
        <w:ind w:firstLine="709"/>
        <w:jc w:val="both"/>
        <w:rPr>
          <w:color w:val="FF0000"/>
        </w:rPr>
      </w:pPr>
    </w:p>
    <w:p w:rsidR="005E5AB4" w:rsidRPr="00A40F64" w:rsidRDefault="005E5AB4" w:rsidP="005E5AB4">
      <w:pPr>
        <w:ind w:firstLine="709"/>
        <w:jc w:val="both"/>
      </w:pPr>
      <w:r w:rsidRPr="00A40F64">
        <w:t>Надходження</w:t>
      </w:r>
      <w:r w:rsidRPr="00A40F64">
        <w:rPr>
          <w:b/>
        </w:rPr>
        <w:t xml:space="preserve"> </w:t>
      </w:r>
      <w:r w:rsidRPr="00A40F64">
        <w:rPr>
          <w:b/>
          <w:lang w:val="uk-UA"/>
        </w:rPr>
        <w:t xml:space="preserve">інших </w:t>
      </w:r>
      <w:r w:rsidRPr="00A40F64">
        <w:rPr>
          <w:b/>
        </w:rPr>
        <w:t xml:space="preserve">субвенцій з місцевих бюджетів </w:t>
      </w:r>
      <w:r w:rsidRPr="00A40F64">
        <w:t xml:space="preserve">до загального та спеціального фондів селищного бюджету </w:t>
      </w:r>
      <w:r w:rsidRPr="00A40F64">
        <w:rPr>
          <w:i/>
          <w:iCs/>
          <w:spacing w:val="-6"/>
        </w:rPr>
        <w:t xml:space="preserve"> </w:t>
      </w:r>
      <w:r w:rsidRPr="00A40F64">
        <w:rPr>
          <w:iCs/>
          <w:spacing w:val="-6"/>
          <w:lang w:val="uk-UA"/>
        </w:rPr>
        <w:t xml:space="preserve">забезпечено  в сумі 5 832,2 </w:t>
      </w:r>
      <w:r w:rsidRPr="00A40F64">
        <w:t>тис</w:t>
      </w:r>
      <w:proofErr w:type="gramStart"/>
      <w:r w:rsidRPr="00A40F64">
        <w:t>.г</w:t>
      </w:r>
      <w:proofErr w:type="gramEnd"/>
      <w:r w:rsidRPr="00A40F64">
        <w:t xml:space="preserve">рн, або </w:t>
      </w:r>
      <w:r w:rsidRPr="00A40F64">
        <w:rPr>
          <w:lang w:val="uk-UA"/>
        </w:rPr>
        <w:t>91,7</w:t>
      </w:r>
      <w:r w:rsidRPr="00A40F64">
        <w:t xml:space="preserve"> відсотк</w:t>
      </w:r>
      <w:r w:rsidRPr="00A40F64">
        <w:rPr>
          <w:lang w:val="uk-UA"/>
        </w:rPr>
        <w:t>а</w:t>
      </w:r>
      <w:r w:rsidRPr="00A40F64">
        <w:t xml:space="preserve"> до плану на рік з урахуванням змін (</w:t>
      </w:r>
      <w:r w:rsidRPr="00A40F64">
        <w:rPr>
          <w:lang w:val="uk-UA"/>
        </w:rPr>
        <w:t>6 358,0</w:t>
      </w:r>
      <w:r w:rsidRPr="00A40F64">
        <w:t xml:space="preserve"> тис.грн). 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Інші субвенції  отримано з бюджетів:</w:t>
      </w:r>
    </w:p>
    <w:p w:rsidR="005E5AB4" w:rsidRPr="00A40F64" w:rsidRDefault="005E5AB4" w:rsidP="005E5AB4">
      <w:pPr>
        <w:pStyle w:val="a7"/>
        <w:numPr>
          <w:ilvl w:val="0"/>
          <w:numId w:val="34"/>
        </w:numPr>
        <w:spacing w:line="276" w:lineRule="auto"/>
        <w:jc w:val="both"/>
      </w:pPr>
      <w:r w:rsidRPr="00A40F64">
        <w:t>5 069,2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 - обласного бюджету; </w:t>
      </w:r>
    </w:p>
    <w:p w:rsidR="005E5AB4" w:rsidRPr="00A40F64" w:rsidRDefault="005E5AB4" w:rsidP="005E5AB4">
      <w:pPr>
        <w:pStyle w:val="a7"/>
        <w:numPr>
          <w:ilvl w:val="0"/>
          <w:numId w:val="34"/>
        </w:numPr>
        <w:spacing w:line="276" w:lineRule="auto"/>
        <w:jc w:val="both"/>
      </w:pPr>
      <w:r w:rsidRPr="00A40F64">
        <w:t>178,0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 - Зеленської ТГ; </w:t>
      </w:r>
    </w:p>
    <w:p w:rsidR="005E5AB4" w:rsidRPr="00A40F64" w:rsidRDefault="005E5AB4" w:rsidP="005E5AB4">
      <w:pPr>
        <w:pStyle w:val="a7"/>
        <w:numPr>
          <w:ilvl w:val="0"/>
          <w:numId w:val="34"/>
        </w:numPr>
        <w:spacing w:line="276" w:lineRule="auto"/>
        <w:jc w:val="both"/>
      </w:pPr>
      <w:r w:rsidRPr="00A40F64">
        <w:t>355,0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 - Білоберізької ТГ;</w:t>
      </w:r>
    </w:p>
    <w:p w:rsidR="005E5AB4" w:rsidRPr="00A40F64" w:rsidRDefault="005E5AB4" w:rsidP="005E5AB4">
      <w:pPr>
        <w:pStyle w:val="a7"/>
        <w:numPr>
          <w:ilvl w:val="0"/>
          <w:numId w:val="34"/>
        </w:numPr>
        <w:spacing w:line="276" w:lineRule="auto"/>
        <w:jc w:val="both"/>
      </w:pPr>
      <w:r w:rsidRPr="00A40F64">
        <w:t>210,0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 - Надвірнянської ТГ;</w:t>
      </w:r>
    </w:p>
    <w:p w:rsidR="005E5AB4" w:rsidRPr="00A40F64" w:rsidRDefault="005E5AB4" w:rsidP="005E5AB4">
      <w:pPr>
        <w:pStyle w:val="a7"/>
        <w:numPr>
          <w:ilvl w:val="0"/>
          <w:numId w:val="34"/>
        </w:numPr>
        <w:spacing w:line="276" w:lineRule="auto"/>
        <w:jc w:val="both"/>
      </w:pPr>
      <w:r w:rsidRPr="00A40F64">
        <w:t>20,0 грн - Ворохтянської ТГ.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lastRenderedPageBreak/>
        <w:t>Надходження субвенції з місцевого бюджету на здійснення природоохоронних заходів складають 3</w:t>
      </w:r>
      <w:r w:rsidRPr="00A40F64">
        <w:t> </w:t>
      </w:r>
      <w:r w:rsidRPr="00A40F64">
        <w:rPr>
          <w:lang w:val="uk-UA"/>
        </w:rPr>
        <w:t xml:space="preserve">426,1 тис. грн, або 84,0 відсотка до плану на рік з урахуванням змін (4 080,1 тис. грн). </w:t>
      </w:r>
    </w:p>
    <w:p w:rsidR="005E5AB4" w:rsidRPr="00A40F64" w:rsidRDefault="005E5AB4" w:rsidP="005E5AB4">
      <w:pPr>
        <w:pStyle w:val="a7"/>
        <w:ind w:left="1500"/>
        <w:jc w:val="both"/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b/>
          <w:lang w:val="uk-UA"/>
        </w:rPr>
        <w:t>Податковий борг</w:t>
      </w:r>
      <w:r w:rsidRPr="00A40F64">
        <w:rPr>
          <w:lang w:val="uk-UA"/>
        </w:rPr>
        <w:t xml:space="preserve"> по юридичних особах станом на 01.01.2024 року складає в сумі  1 140,9 тис. грн та зменшився проти боргу на 01.01.2023 року на 728,6 тис. грн.   </w:t>
      </w:r>
    </w:p>
    <w:p w:rsidR="005E5AB4" w:rsidRPr="00A40F64" w:rsidRDefault="005E5AB4" w:rsidP="005E5AB4">
      <w:pPr>
        <w:ind w:firstLine="709"/>
        <w:jc w:val="both"/>
      </w:pPr>
      <w:r w:rsidRPr="00A40F64">
        <w:t xml:space="preserve">Найбільшими боржниками є наступні </w:t>
      </w:r>
      <w:proofErr w:type="gramStart"/>
      <w:r w:rsidRPr="00A40F64">
        <w:t>п</w:t>
      </w:r>
      <w:proofErr w:type="gramEnd"/>
      <w:r w:rsidRPr="00A40F64">
        <w:t>ідприємства:</w:t>
      </w:r>
    </w:p>
    <w:p w:rsidR="005E5AB4" w:rsidRPr="00A40F64" w:rsidRDefault="005E5AB4" w:rsidP="005E5AB4">
      <w:pPr>
        <w:ind w:firstLine="709"/>
        <w:jc w:val="both"/>
      </w:pPr>
    </w:p>
    <w:p w:rsidR="005E5AB4" w:rsidRPr="00A40F64" w:rsidRDefault="005E5AB4" w:rsidP="005E5AB4">
      <w:pPr>
        <w:pStyle w:val="a7"/>
        <w:numPr>
          <w:ilvl w:val="0"/>
          <w:numId w:val="8"/>
        </w:numPr>
        <w:ind w:left="0" w:firstLine="709"/>
        <w:jc w:val="both"/>
      </w:pPr>
      <w:r w:rsidRPr="00A40F64">
        <w:t xml:space="preserve"> Верховинський районний лісгосп   – 934,6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що складає 81,9 відсотка до загальної суми боргів, з яких: </w:t>
      </w:r>
      <w:r w:rsidRPr="00A40F64">
        <w:rPr>
          <w:bdr w:val="none" w:sz="0" w:space="0" w:color="auto" w:frame="1"/>
        </w:rPr>
        <w:t xml:space="preserve">по податку на доходи фізичних осіб, що сплачується податковими агентами, із доходів платника податку у вигляді заробітної плати </w:t>
      </w:r>
      <w:r w:rsidRPr="00A40F64">
        <w:t>– 688,5 тис. грн, по земельному податку з юридичних осіб – 11,9 тис. грн, по орендній платі – 233,4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по рентній платі – 0,8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ind w:left="0" w:firstLine="709"/>
        <w:jc w:val="both"/>
      </w:pPr>
      <w:r w:rsidRPr="00A40F64">
        <w:t xml:space="preserve">Спільне Українсько-Чеське </w:t>
      </w:r>
      <w:proofErr w:type="gramStart"/>
      <w:r w:rsidRPr="00A40F64">
        <w:t>п</w:t>
      </w:r>
      <w:proofErr w:type="gramEnd"/>
      <w:r w:rsidRPr="00A40F64">
        <w:t>ідприємство «Крона» -  161,4 тис. грн, з них: по орендній  платі – 160,5 тис. грн, по податку на нерухоме майно – 0,9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ind w:left="0" w:firstLine="709"/>
        <w:jc w:val="both"/>
      </w:pPr>
      <w:r w:rsidRPr="00A40F64">
        <w:t>ТзОВ «Карпат</w:t>
      </w:r>
      <w:proofErr w:type="gramStart"/>
      <w:r w:rsidRPr="00A40F64">
        <w:t>и-</w:t>
      </w:r>
      <w:proofErr w:type="gramEnd"/>
      <w:r w:rsidRPr="00A40F64">
        <w:t>Європалет» - 23,6 тис. грн по орендній  платі;</w:t>
      </w:r>
    </w:p>
    <w:p w:rsidR="005E5AB4" w:rsidRPr="00A40F64" w:rsidRDefault="005E5AB4" w:rsidP="005E5AB4">
      <w:pPr>
        <w:spacing w:after="160" w:line="259" w:lineRule="auto"/>
        <w:jc w:val="center"/>
        <w:rPr>
          <w:b/>
          <w:i/>
          <w:lang w:val="uk-UA"/>
        </w:rPr>
      </w:pPr>
      <w:r w:rsidRPr="00A40F64">
        <w:rPr>
          <w:lang w:val="uk-UA"/>
        </w:rPr>
        <w:br w:type="page"/>
      </w:r>
      <w:r w:rsidRPr="00A40F64">
        <w:rPr>
          <w:b/>
          <w:i/>
          <w:lang w:val="uk-UA"/>
        </w:rPr>
        <w:lastRenderedPageBreak/>
        <w:t>ВИДАТКОВА ЧАСТИНА БЮДЖЕТУ</w:t>
      </w:r>
    </w:p>
    <w:p w:rsidR="005E5AB4" w:rsidRPr="00A40F64" w:rsidRDefault="005E5AB4" w:rsidP="005E5AB4">
      <w:pPr>
        <w:ind w:firstLine="709"/>
        <w:jc w:val="both"/>
        <w:rPr>
          <w:snapToGrid w:val="0"/>
          <w:spacing w:val="-4"/>
          <w:lang w:val="uk-UA"/>
        </w:rPr>
      </w:pPr>
      <w:r w:rsidRPr="00A40F64">
        <w:rPr>
          <w:snapToGrid w:val="0"/>
          <w:spacing w:val="-4"/>
          <w:lang w:val="uk-UA"/>
        </w:rPr>
        <w:t>З метою ефективного управління бюджетними коштами, недопущення виникнення дебіторської та кредиторської заборгованості, фінансування запланованих видатків селищного бюджету проводилось в межах взятих розпорядниками коштів бюджетних зобов’язань,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бюджету.</w:t>
      </w:r>
    </w:p>
    <w:p w:rsidR="005E5AB4" w:rsidRPr="00A40F64" w:rsidRDefault="005E5AB4" w:rsidP="005E5AB4">
      <w:pPr>
        <w:tabs>
          <w:tab w:val="num" w:pos="0"/>
        </w:tabs>
        <w:ind w:firstLine="720"/>
        <w:jc w:val="both"/>
      </w:pPr>
      <w:r w:rsidRPr="00A40F64">
        <w:rPr>
          <w:lang w:val="uk-UA"/>
        </w:rPr>
        <w:t>За звітний період в</w:t>
      </w:r>
      <w:r w:rsidRPr="00A40F64">
        <w:t xml:space="preserve">идаткова частина бюджету громади виконана у сумі </w:t>
      </w:r>
      <w:r w:rsidRPr="00A40F64">
        <w:rPr>
          <w:lang w:val="uk-UA"/>
        </w:rPr>
        <w:t>269 919,7</w:t>
      </w:r>
      <w:r w:rsidRPr="00A40F64">
        <w:t xml:space="preserve"> тис. грн, що становить </w:t>
      </w:r>
      <w:r w:rsidRPr="00A40F64">
        <w:rPr>
          <w:lang w:val="uk-UA"/>
        </w:rPr>
        <w:t>100,04</w:t>
      </w:r>
      <w:r w:rsidRPr="00A40F64">
        <w:t> відс</w:t>
      </w:r>
      <w:r w:rsidRPr="00A40F64">
        <w:rPr>
          <w:lang w:val="uk-UA"/>
        </w:rPr>
        <w:t>отка</w:t>
      </w:r>
      <w:r w:rsidRPr="00A40F64">
        <w:t xml:space="preserve"> до уточнених призначень на </w:t>
      </w:r>
      <w:proofErr w:type="gramStart"/>
      <w:r w:rsidRPr="00A40F64">
        <w:t>р</w:t>
      </w:r>
      <w:proofErr w:type="gramEnd"/>
      <w:r w:rsidRPr="00A40F64">
        <w:t>ік, в тому числі по:</w:t>
      </w:r>
    </w:p>
    <w:p w:rsidR="005E5AB4" w:rsidRPr="00A40F64" w:rsidRDefault="005E5AB4" w:rsidP="005E5AB4">
      <w:pPr>
        <w:tabs>
          <w:tab w:val="num" w:pos="0"/>
        </w:tabs>
        <w:ind w:firstLine="720"/>
        <w:jc w:val="both"/>
        <w:rPr>
          <w:lang w:val="uk-UA"/>
        </w:rPr>
      </w:pPr>
      <w:r w:rsidRPr="00A40F64">
        <w:t xml:space="preserve">- загальному фонду </w:t>
      </w:r>
      <w:r w:rsidRPr="00A40F64">
        <w:rPr>
          <w:lang w:val="uk-UA"/>
        </w:rPr>
        <w:t xml:space="preserve"> </w:t>
      </w:r>
      <w:r w:rsidRPr="00A40F64">
        <w:t xml:space="preserve">у сумі </w:t>
      </w:r>
      <w:r w:rsidRPr="00A40F64">
        <w:rPr>
          <w:lang w:val="uk-UA"/>
        </w:rPr>
        <w:t>238 013,5</w:t>
      </w:r>
      <w:r w:rsidRPr="00A40F64">
        <w:t> </w:t>
      </w:r>
      <w:r w:rsidRPr="00A40F64">
        <w:rPr>
          <w:lang w:val="uk-UA"/>
        </w:rPr>
        <w:t xml:space="preserve"> </w:t>
      </w:r>
      <w:r w:rsidRPr="00A40F64">
        <w:t>тис</w:t>
      </w:r>
      <w:proofErr w:type="gramStart"/>
      <w:r w:rsidRPr="00A40F64">
        <w:t>.</w:t>
      </w:r>
      <w:proofErr w:type="gramEnd"/>
      <w:r w:rsidRPr="00A40F64">
        <w:t> </w:t>
      </w:r>
      <w:proofErr w:type="gramStart"/>
      <w:r w:rsidRPr="00A40F64">
        <w:t>г</w:t>
      </w:r>
      <w:proofErr w:type="gramEnd"/>
      <w:r w:rsidRPr="00A40F64">
        <w:t xml:space="preserve">рн, або </w:t>
      </w:r>
      <w:r w:rsidRPr="00A40F64">
        <w:rPr>
          <w:lang w:val="uk-UA"/>
        </w:rPr>
        <w:t>98,8</w:t>
      </w:r>
      <w:r w:rsidRPr="00A40F64">
        <w:t> від</w:t>
      </w:r>
      <w:r w:rsidRPr="00A40F64">
        <w:rPr>
          <w:lang w:val="uk-UA"/>
        </w:rPr>
        <w:t>сотка</w:t>
      </w:r>
      <w:r w:rsidRPr="00A40F64">
        <w:t xml:space="preserve">, </w:t>
      </w:r>
    </w:p>
    <w:p w:rsidR="005E5AB4" w:rsidRPr="00A40F64" w:rsidRDefault="005E5AB4" w:rsidP="005E5AB4">
      <w:pPr>
        <w:tabs>
          <w:tab w:val="num" w:pos="0"/>
        </w:tabs>
        <w:ind w:firstLine="720"/>
        <w:jc w:val="both"/>
        <w:rPr>
          <w:highlight w:val="yellow"/>
          <w:lang w:val="uk-UA"/>
        </w:rPr>
      </w:pPr>
      <w:r w:rsidRPr="00A40F64">
        <w:rPr>
          <w:lang w:val="uk-UA"/>
        </w:rPr>
        <w:t xml:space="preserve">- </w:t>
      </w:r>
      <w:r w:rsidRPr="00A40F64">
        <w:t xml:space="preserve">спеціальному фонду у сумі </w:t>
      </w:r>
      <w:r w:rsidRPr="00A40F64">
        <w:rPr>
          <w:lang w:val="uk-UA"/>
        </w:rPr>
        <w:t>31 906,2</w:t>
      </w:r>
      <w:r w:rsidRPr="00A40F64">
        <w:rPr>
          <w:lang w:val="en-US"/>
        </w:rPr>
        <w:t> </w:t>
      </w:r>
      <w:r w:rsidRPr="00A40F64">
        <w:t>тис.</w:t>
      </w:r>
      <w:r w:rsidRPr="00A40F64">
        <w:rPr>
          <w:lang w:val="en-US"/>
        </w:rPr>
        <w:t> </w:t>
      </w:r>
      <w:r w:rsidRPr="00A40F64">
        <w:t xml:space="preserve">грн, </w:t>
      </w:r>
      <w:r w:rsidRPr="00A40F64">
        <w:rPr>
          <w:lang w:val="uk-UA"/>
        </w:rPr>
        <w:t>або 267,6 відсотка.</w:t>
      </w:r>
    </w:p>
    <w:p w:rsidR="005E5AB4" w:rsidRPr="00A40F64" w:rsidRDefault="005E5AB4" w:rsidP="005E5AB4">
      <w:pPr>
        <w:ind w:firstLine="709"/>
        <w:jc w:val="both"/>
        <w:rPr>
          <w:shd w:val="clear" w:color="auto" w:fill="FFFFFF"/>
          <w:lang w:val="uk-UA"/>
        </w:rPr>
      </w:pPr>
      <w:r>
        <w:rPr>
          <w:noProof/>
          <w:lang w:val="uk-UA" w:eastAsia="uk-UA"/>
        </w:rPr>
        <w:pict>
          <v:oval id="Oval 58" o:spid="_x0000_s1029" style="position:absolute;left:0;text-align:left;margin-left:357.4pt;margin-top:4.65pt;width:138.75pt;height:17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">
            <v:textbox>
              <w:txbxContent>
                <w:p w:rsidR="005E5AB4" w:rsidRPr="00123E60" w:rsidRDefault="005E5AB4" w:rsidP="005E5AB4">
                  <w:pPr>
                    <w:shd w:val="clear" w:color="auto" w:fill="CCC0D9" w:themeFill="accent4" w:themeFillTint="66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>ЗА 202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3 рік виконання бюджету склало </w:t>
                  </w: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269 919,7  тис. грн</w:t>
                  </w:r>
                </w:p>
                <w:p w:rsidR="005E5AB4" w:rsidRPr="00123E60" w:rsidRDefault="005E5AB4" w:rsidP="005E5AB4">
                  <w:pPr>
                    <w:shd w:val="clear" w:color="auto" w:fill="CCC0D9" w:themeFill="accent4" w:themeFillTint="66"/>
                    <w:rPr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Oval 56" o:spid="_x0000_s1027" style="position:absolute;left:0;text-align:left;margin-left:-2.6pt;margin-top:4.65pt;width:140.25pt;height:18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">
            <v:textbox>
              <w:txbxContent>
                <w:p w:rsidR="005E5AB4" w:rsidRDefault="005E5AB4" w:rsidP="005E5AB4">
                  <w:pPr>
                    <w:shd w:val="clear" w:color="auto" w:fill="D6E3BC" w:themeFill="accent3" w:themeFillTint="66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 2022рік виконання бюджету склало 228709,2</w:t>
                  </w: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5AB4" w:rsidRPr="00123E60" w:rsidRDefault="005E5AB4" w:rsidP="005E5AB4">
                  <w:pPr>
                    <w:shd w:val="clear" w:color="auto" w:fill="D6E3BC" w:themeFill="accent3" w:themeFillTint="66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>тис.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грн</w:t>
                  </w:r>
                </w:p>
              </w:txbxContent>
            </v:textbox>
          </v:oval>
        </w:pict>
      </w:r>
    </w:p>
    <w:p w:rsidR="005E5AB4" w:rsidRPr="00A40F64" w:rsidRDefault="005E5AB4" w:rsidP="005E5AB4">
      <w:pPr>
        <w:rPr>
          <w:color w:val="FF0000"/>
          <w:lang w:val="uk-UA"/>
        </w:rPr>
      </w:pPr>
      <w:r>
        <w:rPr>
          <w:noProof/>
          <w:color w:val="FF0000"/>
          <w:lang w:val="uk-UA"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7" o:spid="_x0000_s1028" type="#_x0000_t13" style="position:absolute;margin-left:137.65pt;margin-top:2.55pt;width:219.75pt;height:1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">
            <v:textbox>
              <w:txbxContent>
                <w:p w:rsidR="005E5AB4" w:rsidRDefault="005E5AB4" w:rsidP="005E5AB4">
                  <w:pPr>
                    <w:shd w:val="clear" w:color="auto" w:fill="FBD4B4" w:themeFill="accent6" w:themeFillTint="66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>Ріст виконання</w:t>
                  </w:r>
                </w:p>
                <w:p w:rsidR="005E5AB4" w:rsidRPr="00123E60" w:rsidRDefault="005E5AB4" w:rsidP="005E5AB4">
                  <w:pPr>
                    <w:shd w:val="clear" w:color="auto" w:fill="FBD4B4" w:themeFill="accent6" w:themeFillTint="66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 xml:space="preserve"> видаткової частини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в цілому</w:t>
                  </w: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 xml:space="preserve">  становить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41 210,5</w:t>
                  </w: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 xml:space="preserve"> тис.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123E60">
                    <w:rPr>
                      <w:b/>
                      <w:sz w:val="28"/>
                      <w:szCs w:val="28"/>
                      <w:lang w:val="uk-UA"/>
                    </w:rPr>
                    <w:t>грн</w:t>
                  </w:r>
                </w:p>
              </w:txbxContent>
            </v:textbox>
          </v:shape>
        </w:pict>
      </w:r>
    </w:p>
    <w:p w:rsidR="005E5AB4" w:rsidRPr="00A40F64" w:rsidRDefault="005E5AB4" w:rsidP="005E5AB4">
      <w:pPr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  <w:r w:rsidRPr="00A40F64">
        <w:rPr>
          <w:color w:val="FF0000"/>
          <w:shd w:val="clear" w:color="auto" w:fill="FFFFFF"/>
          <w:lang w:val="uk-UA"/>
        </w:rPr>
        <w:tab/>
      </w: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tabs>
          <w:tab w:val="left" w:pos="8505"/>
        </w:tabs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textAlignment w:val="baseline"/>
        <w:rPr>
          <w:color w:val="FF0000"/>
          <w:lang w:eastAsia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textAlignment w:val="baseline"/>
        <w:rPr>
          <w:lang w:eastAsia="uk-UA"/>
        </w:rPr>
      </w:pPr>
      <w:r w:rsidRPr="00A40F64">
        <w:rPr>
          <w:lang w:eastAsia="uk-UA"/>
        </w:rPr>
        <w:t xml:space="preserve">Обсяг коштів, що передаються із загального фонду бюджету до бюджету розвитку (спеціального фонду) за 2023 </w:t>
      </w:r>
      <w:proofErr w:type="gramStart"/>
      <w:r w:rsidRPr="00A40F64">
        <w:rPr>
          <w:lang w:eastAsia="uk-UA"/>
        </w:rPr>
        <w:t>р</w:t>
      </w:r>
      <w:proofErr w:type="gramEnd"/>
      <w:r w:rsidRPr="00A40F64">
        <w:rPr>
          <w:lang w:eastAsia="uk-UA"/>
        </w:rPr>
        <w:t>ік становить  791,5  тис. грн.</w:t>
      </w:r>
    </w:p>
    <w:p w:rsidR="005E5AB4" w:rsidRPr="00A40F64" w:rsidRDefault="005E5AB4" w:rsidP="005E5AB4">
      <w:pPr>
        <w:ind w:firstLine="709"/>
        <w:jc w:val="both"/>
        <w:rPr>
          <w:color w:val="FF0000"/>
        </w:rPr>
      </w:pPr>
    </w:p>
    <w:p w:rsidR="005E5AB4" w:rsidRPr="00A40F64" w:rsidRDefault="005E5AB4" w:rsidP="005E5AB4">
      <w:pPr>
        <w:ind w:firstLine="709"/>
        <w:jc w:val="center"/>
        <w:rPr>
          <w:b/>
          <w:lang w:val="uk-UA"/>
        </w:rPr>
      </w:pPr>
      <w:r w:rsidRPr="00A40F64">
        <w:rPr>
          <w:b/>
          <w:lang w:val="uk-UA"/>
        </w:rPr>
        <w:t xml:space="preserve">Обсяг видатків бюджету Верховинської територіальної громади </w:t>
      </w:r>
    </w:p>
    <w:p w:rsidR="005E5AB4" w:rsidRPr="00A40F64" w:rsidRDefault="005E5AB4" w:rsidP="005E5AB4">
      <w:pPr>
        <w:ind w:firstLine="709"/>
        <w:jc w:val="center"/>
        <w:rPr>
          <w:lang w:val="uk-UA"/>
        </w:rPr>
      </w:pPr>
      <w:r w:rsidRPr="00A40F64">
        <w:rPr>
          <w:lang w:val="uk-UA"/>
        </w:rPr>
        <w:t xml:space="preserve">                                                                                                          у тис. грн та відсотках</w:t>
      </w:r>
    </w:p>
    <w:p w:rsidR="005E5AB4" w:rsidRPr="00A40F64" w:rsidRDefault="005E5AB4" w:rsidP="005E5AB4">
      <w:pPr>
        <w:ind w:firstLine="709"/>
        <w:jc w:val="center"/>
        <w:rPr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181725" cy="2762250"/>
            <wp:effectExtent l="0" t="0" r="0" b="0"/>
            <wp:docPr id="22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5AB4" w:rsidRPr="00A40F64" w:rsidRDefault="005E5AB4" w:rsidP="005E5AB4">
      <w:pPr>
        <w:ind w:firstLine="900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900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900"/>
        <w:jc w:val="both"/>
        <w:rPr>
          <w:lang w:val="uk-UA"/>
        </w:rPr>
      </w:pPr>
      <w:r w:rsidRPr="00A40F64">
        <w:rPr>
          <w:lang w:val="uk-UA"/>
        </w:rPr>
        <w:t>Видатки загального фонду  у 2023 році спрямовувались на галузі: «Освіта» -  190 970,3 тис. грн, «Органи місцевого самоврядування» –18 732,4 тис. грн, «Охорону здоров’я» – 4 794,2 тис. грн, «Соціальний захист та соціальне забезпечення» – 6 926,7 тис. грн, «Культура» – 5 599,6 тис. грн, інші видатки -   10 990,3 тис. грн.</w:t>
      </w:r>
    </w:p>
    <w:p w:rsidR="005E5AB4" w:rsidRPr="00A40F64" w:rsidRDefault="005E5AB4" w:rsidP="005E5AB4">
      <w:pPr>
        <w:ind w:firstLine="900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900"/>
        <w:jc w:val="center"/>
        <w:rPr>
          <w:b/>
          <w:lang w:val="uk-UA"/>
        </w:rPr>
      </w:pPr>
      <w:r w:rsidRPr="00A40F64">
        <w:rPr>
          <w:b/>
          <w:lang w:val="uk-UA"/>
        </w:rPr>
        <w:t xml:space="preserve">Структура видаткової частини загального фонду бюджету </w:t>
      </w:r>
    </w:p>
    <w:p w:rsidR="005E5AB4" w:rsidRPr="00A40F64" w:rsidRDefault="005E5AB4" w:rsidP="005E5AB4">
      <w:pPr>
        <w:ind w:firstLine="900"/>
        <w:jc w:val="center"/>
        <w:rPr>
          <w:b/>
          <w:lang w:val="uk-UA"/>
        </w:rPr>
      </w:pPr>
      <w:r w:rsidRPr="00A40F64">
        <w:rPr>
          <w:b/>
          <w:lang w:val="uk-UA"/>
        </w:rPr>
        <w:lastRenderedPageBreak/>
        <w:t>в розрізі галузей за 2023 рік</w:t>
      </w:r>
    </w:p>
    <w:p w:rsidR="005E5AB4" w:rsidRPr="00A40F64" w:rsidRDefault="005E5AB4" w:rsidP="005E5AB4">
      <w:pPr>
        <w:ind w:firstLine="900"/>
        <w:jc w:val="center"/>
        <w:rPr>
          <w:b/>
          <w:color w:val="FF0000"/>
          <w:lang w:val="uk-UA"/>
        </w:rPr>
      </w:pPr>
    </w:p>
    <w:p w:rsidR="005E5AB4" w:rsidRPr="00A40F64" w:rsidRDefault="005E5AB4" w:rsidP="005E5AB4">
      <w:pPr>
        <w:ind w:right="-1" w:firstLine="8364"/>
        <w:jc w:val="both"/>
        <w:rPr>
          <w:color w:val="FF0000"/>
          <w:lang w:val="uk-UA"/>
        </w:rPr>
      </w:pPr>
      <w:r w:rsidRPr="00A40F64">
        <w:rPr>
          <w:lang w:val="uk-UA"/>
        </w:rPr>
        <w:t xml:space="preserve"> у відсотках</w:t>
      </w:r>
      <w:r w:rsidRPr="00A40F64">
        <w:rPr>
          <w:color w:val="FF0000"/>
          <w:lang w:val="uk-UA"/>
        </w:rPr>
        <w:t xml:space="preserve">                         </w:t>
      </w: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478270" cy="3600450"/>
            <wp:effectExtent l="0" t="0" r="0" b="0"/>
            <wp:docPr id="226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40F64">
        <w:rPr>
          <w:color w:val="FF0000"/>
          <w:lang w:val="uk-UA"/>
        </w:rPr>
        <w:t xml:space="preserve">     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У ході виконання бюджету Верховинської селищної територіальної громади першочергова увага приділялась фінансуванню захищених статей бюджету, зокрема на :</w:t>
      </w:r>
    </w:p>
    <w:p w:rsidR="005E5AB4" w:rsidRPr="00A40F64" w:rsidRDefault="005E5AB4" w:rsidP="005E5AB4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заробітну плату з нарахуваннями працівників бюджетних установ -            84,2 відсотка;</w:t>
      </w:r>
    </w:p>
    <w:p w:rsidR="005E5AB4" w:rsidRPr="00A40F64" w:rsidRDefault="005E5AB4" w:rsidP="005E5AB4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оплату комунальних послуг та енергоносіїв – 6,8 відсотка;</w:t>
      </w:r>
    </w:p>
    <w:p w:rsidR="005E5AB4" w:rsidRPr="00A40F64" w:rsidRDefault="005E5AB4" w:rsidP="005E5AB4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трансферти населенню – 1,0 відсотка; </w:t>
      </w:r>
    </w:p>
    <w:p w:rsidR="005E5AB4" w:rsidRPr="00A40F64" w:rsidRDefault="005E5AB4" w:rsidP="005E5AB4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оплату медикаментів та перев`язувальних матеріалів – 0,03 відсотка; </w:t>
      </w:r>
    </w:p>
    <w:p w:rsidR="005E5AB4" w:rsidRPr="00A40F64" w:rsidRDefault="005E5AB4" w:rsidP="005E5AB4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продукти харчування – 1,1 відсотка.</w:t>
      </w:r>
    </w:p>
    <w:p w:rsidR="005E5AB4" w:rsidRPr="00A40F64" w:rsidRDefault="005E5AB4" w:rsidP="005E5AB4">
      <w:pPr>
        <w:ind w:left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Питома вага захищених видатків у загальній сумі складає 93,1 відсотка.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</w:pPr>
    </w:p>
    <w:p w:rsidR="005E5AB4" w:rsidRPr="00A40F64" w:rsidRDefault="005E5AB4" w:rsidP="005E5AB4">
      <w:pPr>
        <w:ind w:firstLine="709"/>
        <w:jc w:val="both"/>
      </w:pPr>
    </w:p>
    <w:p w:rsidR="005E5AB4" w:rsidRPr="00A40F64" w:rsidRDefault="005E5AB4" w:rsidP="005E5AB4">
      <w:pPr>
        <w:ind w:firstLine="709"/>
        <w:jc w:val="both"/>
        <w:rPr>
          <w:color w:val="FF0000"/>
        </w:rPr>
      </w:pPr>
    </w:p>
    <w:p w:rsidR="005E5AB4" w:rsidRPr="00A40F64" w:rsidRDefault="005E5AB4" w:rsidP="005E5AB4">
      <w:pPr>
        <w:ind w:firstLine="709"/>
        <w:jc w:val="both"/>
        <w:rPr>
          <w:color w:val="FF0000"/>
        </w:rPr>
      </w:pPr>
    </w:p>
    <w:p w:rsidR="005E5AB4" w:rsidRPr="00A40F64" w:rsidRDefault="005E5AB4" w:rsidP="005E5AB4">
      <w:pPr>
        <w:pStyle w:val="af2"/>
        <w:rPr>
          <w:sz w:val="24"/>
        </w:rPr>
      </w:pPr>
      <w:r w:rsidRPr="00A40F64">
        <w:rPr>
          <w:sz w:val="24"/>
        </w:rPr>
        <w:t>Структура видатків бюджету по захищених статтях у 2023 році</w:t>
      </w:r>
    </w:p>
    <w:p w:rsidR="005E5AB4" w:rsidRPr="00A40F64" w:rsidRDefault="005E5AB4" w:rsidP="005E5AB4">
      <w:pPr>
        <w:ind w:left="8505"/>
        <w:rPr>
          <w:lang w:val="uk-UA" w:eastAsia="uk-UA"/>
        </w:rPr>
      </w:pPr>
    </w:p>
    <w:p w:rsidR="005E5AB4" w:rsidRPr="00A40F64" w:rsidRDefault="005E5AB4" w:rsidP="005E5AB4">
      <w:pPr>
        <w:ind w:left="8505"/>
        <w:rPr>
          <w:lang w:val="uk-UA" w:eastAsia="uk-UA"/>
        </w:rPr>
      </w:pPr>
      <w:r w:rsidRPr="00A40F64">
        <w:rPr>
          <w:lang w:val="uk-UA" w:eastAsia="uk-UA"/>
        </w:rPr>
        <w:t>тис. грн</w:t>
      </w:r>
    </w:p>
    <w:p w:rsidR="005E5AB4" w:rsidRPr="00A40F64" w:rsidRDefault="005E5AB4" w:rsidP="005E5AB4">
      <w:pPr>
        <w:keepNext/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lastRenderedPageBreak/>
        <w:drawing>
          <wp:inline distT="0" distB="0" distL="0" distR="0">
            <wp:extent cx="6209030" cy="3925837"/>
            <wp:effectExtent l="19050" t="0" r="20320" b="0"/>
            <wp:docPr id="227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5AB4" w:rsidRPr="00A40F64" w:rsidRDefault="005E5AB4" w:rsidP="005E5AB4">
      <w:pPr>
        <w:keepNext/>
        <w:jc w:val="center"/>
        <w:rPr>
          <w:b/>
          <w:color w:val="FF0000"/>
          <w:lang w:val="uk-UA"/>
        </w:rPr>
      </w:pPr>
    </w:p>
    <w:p w:rsidR="005E5AB4" w:rsidRPr="00A40F64" w:rsidRDefault="005E5AB4" w:rsidP="005E5AB4">
      <w:pPr>
        <w:keepNext/>
        <w:jc w:val="center"/>
        <w:rPr>
          <w:b/>
          <w:lang w:val="uk-UA"/>
        </w:rPr>
      </w:pPr>
    </w:p>
    <w:p w:rsidR="005E5AB4" w:rsidRPr="00A40F64" w:rsidRDefault="005E5AB4" w:rsidP="005E5AB4">
      <w:pPr>
        <w:keepNext/>
        <w:jc w:val="center"/>
        <w:rPr>
          <w:b/>
          <w:lang w:val="uk-UA"/>
        </w:rPr>
      </w:pPr>
      <w:r w:rsidRPr="00A40F64">
        <w:rPr>
          <w:b/>
          <w:lang w:val="uk-UA"/>
        </w:rPr>
        <w:t>ОСВІТА (1000)</w:t>
      </w:r>
    </w:p>
    <w:p w:rsidR="005E5AB4" w:rsidRPr="00A40F64" w:rsidRDefault="005E5AB4" w:rsidP="005E5AB4">
      <w:pPr>
        <w:keepNext/>
        <w:jc w:val="center"/>
        <w:rPr>
          <w:b/>
          <w:lang w:val="uk-UA"/>
        </w:rPr>
      </w:pPr>
    </w:p>
    <w:p w:rsidR="005E5AB4" w:rsidRPr="00A40F64" w:rsidRDefault="005E5AB4" w:rsidP="005E5AB4">
      <w:pPr>
        <w:spacing w:line="276" w:lineRule="auto"/>
        <w:ind w:firstLine="567"/>
        <w:jc w:val="both"/>
        <w:rPr>
          <w:lang w:val="uk-UA"/>
        </w:rPr>
      </w:pPr>
      <w:r w:rsidRPr="00A40F64">
        <w:rPr>
          <w:lang w:val="uk-UA"/>
        </w:rPr>
        <w:t>По галузі «Освіта» видатки за 2023 рік  склали в сумі 196 645,1 тис. грн, з них за загальним фондом 190 970,3  тис. грн та спеціальним фондом   5 675,1 тис. грн, в тому числі капітальні видатки – 915,7 тис. грн.</w:t>
      </w:r>
    </w:p>
    <w:p w:rsidR="005E5AB4" w:rsidRPr="00A40F64" w:rsidRDefault="005E5AB4" w:rsidP="005E5AB4">
      <w:pPr>
        <w:spacing w:line="276" w:lineRule="auto"/>
        <w:ind w:firstLine="567"/>
        <w:jc w:val="both"/>
        <w:rPr>
          <w:lang w:val="uk-UA"/>
        </w:rPr>
      </w:pPr>
      <w:r w:rsidRPr="00A40F64">
        <w:rPr>
          <w:lang w:val="uk-UA"/>
        </w:rPr>
        <w:t xml:space="preserve">У порівнянні з 2022 роком видатки на галузь за загальним фондом збільшились на 14 557,3 тис. грн, а за спеціальним фондом на 2 046,0 тис. грн. </w:t>
      </w:r>
    </w:p>
    <w:p w:rsidR="005E5AB4" w:rsidRPr="00A40F64" w:rsidRDefault="005E5AB4" w:rsidP="005E5AB4">
      <w:pPr>
        <w:spacing w:line="276" w:lineRule="auto"/>
        <w:ind w:firstLine="709"/>
        <w:jc w:val="both"/>
        <w:rPr>
          <w:spacing w:val="-4"/>
        </w:rPr>
      </w:pPr>
      <w:r w:rsidRPr="00A40F64">
        <w:rPr>
          <w:spacing w:val="-4"/>
          <w:lang w:val="uk-UA"/>
        </w:rPr>
        <w:t>У 2023 році із загальної суми асигнування були</w:t>
      </w:r>
      <w:r w:rsidRPr="00A40F64">
        <w:rPr>
          <w:spacing w:val="-4"/>
        </w:rPr>
        <w:t xml:space="preserve"> спрямовані для реалізації бюджетних програм в сфері освіти, а саме: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426"/>
        <w:jc w:val="both"/>
        <w:rPr>
          <w:spacing w:val="-4"/>
        </w:rPr>
      </w:pPr>
      <w:r w:rsidRPr="00A40F64">
        <w:rPr>
          <w:spacing w:val="-4"/>
        </w:rPr>
        <w:t xml:space="preserve">надання дошкільної освіти </w:t>
      </w:r>
      <w:r w:rsidRPr="00A40F64">
        <w:rPr>
          <w:spacing w:val="-4"/>
          <w:lang w:val="uk-UA"/>
        </w:rPr>
        <w:t xml:space="preserve"> по </w:t>
      </w:r>
      <w:r w:rsidRPr="00A40F64">
        <w:rPr>
          <w:spacing w:val="-4"/>
        </w:rPr>
        <w:t>9 заклад</w:t>
      </w:r>
      <w:r w:rsidRPr="00A40F64">
        <w:rPr>
          <w:spacing w:val="-4"/>
          <w:lang w:val="uk-UA"/>
        </w:rPr>
        <w:t>ах,  які відвідує</w:t>
      </w:r>
      <w:r w:rsidRPr="00A40F64">
        <w:rPr>
          <w:spacing w:val="-4"/>
        </w:rPr>
        <w:t xml:space="preserve"> </w:t>
      </w:r>
      <w:r w:rsidRPr="00A40F64">
        <w:rPr>
          <w:spacing w:val="-4"/>
          <w:lang w:val="uk-UA"/>
        </w:rPr>
        <w:t>585</w:t>
      </w:r>
      <w:r w:rsidRPr="00A40F64">
        <w:rPr>
          <w:spacing w:val="-4"/>
        </w:rPr>
        <w:t xml:space="preserve"> дітей - </w:t>
      </w:r>
      <w:r w:rsidRPr="00A40F64">
        <w:rPr>
          <w:spacing w:val="-4"/>
          <w:lang w:val="uk-UA"/>
        </w:rPr>
        <w:t>23 947,3</w:t>
      </w:r>
      <w:r w:rsidRPr="00A40F64">
        <w:rPr>
          <w:spacing w:val="-4"/>
        </w:rPr>
        <w:t xml:space="preserve">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  <w:lang w:val="uk-UA"/>
        </w:rPr>
        <w:t xml:space="preserve"> </w:t>
      </w:r>
      <w:proofErr w:type="gramStart"/>
      <w:r w:rsidRPr="00A40F64">
        <w:rPr>
          <w:spacing w:val="-4"/>
        </w:rPr>
        <w:t>г</w:t>
      </w:r>
      <w:proofErr w:type="gramEnd"/>
      <w:r w:rsidRPr="00A40F64">
        <w:rPr>
          <w:spacing w:val="-4"/>
        </w:rPr>
        <w:t>рн;</w:t>
      </w:r>
    </w:p>
    <w:p w:rsidR="005E5AB4" w:rsidRPr="00A40F64" w:rsidRDefault="005E5AB4" w:rsidP="005E5AB4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pacing w:val="-4"/>
        </w:rPr>
      </w:pPr>
      <w:r w:rsidRPr="00A40F64">
        <w:rPr>
          <w:spacing w:val="-4"/>
        </w:rPr>
        <w:t>надання загальної середньої освіти по 18  закладах,  де навчається  3296 учнів – 157 974,4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</w:rPr>
        <w:t xml:space="preserve"> </w:t>
      </w:r>
      <w:proofErr w:type="gramStart"/>
      <w:r w:rsidRPr="00A40F64">
        <w:rPr>
          <w:spacing w:val="-4"/>
        </w:rPr>
        <w:t>г</w:t>
      </w:r>
      <w:proofErr w:type="gramEnd"/>
      <w:r w:rsidRPr="00A40F64">
        <w:rPr>
          <w:spacing w:val="-4"/>
        </w:rPr>
        <w:t xml:space="preserve">рн; </w:t>
      </w:r>
    </w:p>
    <w:p w:rsidR="005E5AB4" w:rsidRPr="00A40F64" w:rsidRDefault="005E5AB4" w:rsidP="005E5AB4">
      <w:pPr>
        <w:pStyle w:val="a7"/>
        <w:numPr>
          <w:ilvl w:val="0"/>
          <w:numId w:val="35"/>
        </w:numPr>
        <w:spacing w:line="276" w:lineRule="auto"/>
        <w:ind w:left="0" w:firstLine="426"/>
        <w:jc w:val="both"/>
        <w:rPr>
          <w:spacing w:val="-4"/>
        </w:rPr>
      </w:pPr>
      <w:r w:rsidRPr="00A40F64">
        <w:rPr>
          <w:spacing w:val="-4"/>
        </w:rPr>
        <w:t>надання спеціальної освіти мистецькими школами, де навчається  174 учнів (Верховинська дитяча школа мистецтв) - 3 463,1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</w:rPr>
        <w:t xml:space="preserve"> </w:t>
      </w:r>
      <w:proofErr w:type="gramStart"/>
      <w:r w:rsidRPr="00A40F64">
        <w:rPr>
          <w:spacing w:val="-4"/>
        </w:rPr>
        <w:t>г</w:t>
      </w:r>
      <w:proofErr w:type="gramEnd"/>
      <w:r w:rsidRPr="00A40F64">
        <w:rPr>
          <w:spacing w:val="-4"/>
        </w:rPr>
        <w:t>рн;</w:t>
      </w:r>
    </w:p>
    <w:p w:rsidR="005E5AB4" w:rsidRPr="00A40F64" w:rsidRDefault="005E5AB4" w:rsidP="005E5AB4">
      <w:pPr>
        <w:pStyle w:val="a7"/>
        <w:numPr>
          <w:ilvl w:val="0"/>
          <w:numId w:val="36"/>
        </w:numPr>
        <w:spacing w:line="276" w:lineRule="auto"/>
        <w:ind w:left="0" w:firstLine="426"/>
        <w:jc w:val="both"/>
        <w:rPr>
          <w:spacing w:val="-4"/>
        </w:rPr>
      </w:pPr>
      <w:r w:rsidRPr="00A40F64">
        <w:rPr>
          <w:spacing w:val="-4"/>
        </w:rPr>
        <w:t>методичне забезпечення діяльності закладів освіти   - 1 100,8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</w:rPr>
        <w:t xml:space="preserve"> </w:t>
      </w:r>
      <w:proofErr w:type="gramStart"/>
      <w:r w:rsidRPr="00A40F64">
        <w:rPr>
          <w:spacing w:val="-4"/>
        </w:rPr>
        <w:t>г</w:t>
      </w:r>
      <w:proofErr w:type="gramEnd"/>
      <w:r w:rsidRPr="00A40F64">
        <w:rPr>
          <w:spacing w:val="-4"/>
        </w:rPr>
        <w:t>рн;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426"/>
        <w:jc w:val="both"/>
        <w:rPr>
          <w:spacing w:val="-4"/>
        </w:rPr>
      </w:pPr>
      <w:r w:rsidRPr="00A40F64">
        <w:rPr>
          <w:spacing w:val="-4"/>
        </w:rPr>
        <w:t xml:space="preserve">забезпечення діяльності інших закладів у сфері </w:t>
      </w:r>
      <w:r w:rsidRPr="00A40F64">
        <w:rPr>
          <w:spacing w:val="-4"/>
          <w:lang w:val="uk-UA"/>
        </w:rPr>
        <w:t>освіти</w:t>
      </w:r>
      <w:r w:rsidRPr="00A40F64">
        <w:rPr>
          <w:spacing w:val="-4"/>
        </w:rPr>
        <w:t xml:space="preserve"> - </w:t>
      </w:r>
      <w:r w:rsidRPr="00A40F64">
        <w:rPr>
          <w:spacing w:val="-4"/>
          <w:lang w:val="uk-UA"/>
        </w:rPr>
        <w:t>2 278,7</w:t>
      </w:r>
      <w:r w:rsidRPr="00A40F64">
        <w:rPr>
          <w:spacing w:val="-4"/>
        </w:rPr>
        <w:t xml:space="preserve">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  <w:lang w:val="uk-UA"/>
        </w:rPr>
        <w:t xml:space="preserve"> </w:t>
      </w:r>
      <w:proofErr w:type="gramStart"/>
      <w:r w:rsidRPr="00A40F64">
        <w:rPr>
          <w:spacing w:val="-4"/>
        </w:rPr>
        <w:t>г</w:t>
      </w:r>
      <w:proofErr w:type="gramEnd"/>
      <w:r w:rsidRPr="00A40F64">
        <w:rPr>
          <w:spacing w:val="-4"/>
        </w:rPr>
        <w:t>рн;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426"/>
        <w:jc w:val="both"/>
      </w:pPr>
      <w:r w:rsidRPr="00A40F64">
        <w:rPr>
          <w:spacing w:val="-4"/>
        </w:rPr>
        <w:t xml:space="preserve">забезпечення діяльності інклюзивно-ресурсних центрів - </w:t>
      </w:r>
      <w:r w:rsidRPr="00A40F64">
        <w:rPr>
          <w:spacing w:val="-4"/>
          <w:lang w:val="uk-UA"/>
        </w:rPr>
        <w:t>1 700,4</w:t>
      </w:r>
      <w:r w:rsidRPr="00A40F64">
        <w:rPr>
          <w:spacing w:val="-4"/>
        </w:rPr>
        <w:t xml:space="preserve"> тис</w:t>
      </w:r>
      <w:proofErr w:type="gramStart"/>
      <w:r w:rsidRPr="00A40F64">
        <w:rPr>
          <w:spacing w:val="-4"/>
        </w:rPr>
        <w:t>.</w:t>
      </w:r>
      <w:proofErr w:type="gramEnd"/>
      <w:r w:rsidRPr="00A40F64">
        <w:rPr>
          <w:spacing w:val="-4"/>
          <w:lang w:val="uk-UA"/>
        </w:rPr>
        <w:t xml:space="preserve"> </w:t>
      </w:r>
      <w:proofErr w:type="gramStart"/>
      <w:r w:rsidRPr="00A40F64">
        <w:rPr>
          <w:spacing w:val="-4"/>
          <w:lang w:val="uk-UA"/>
        </w:rPr>
        <w:t>г</w:t>
      </w:r>
      <w:proofErr w:type="gramEnd"/>
      <w:r w:rsidRPr="00A40F64">
        <w:rPr>
          <w:spacing w:val="-4"/>
        </w:rPr>
        <w:t>рн</w:t>
      </w:r>
      <w:r w:rsidRPr="00A40F64">
        <w:rPr>
          <w:spacing w:val="-4"/>
          <w:lang w:val="uk-UA"/>
        </w:rPr>
        <w:t>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426"/>
        <w:jc w:val="both"/>
      </w:pPr>
      <w:r w:rsidRPr="00A40F64">
        <w:rPr>
          <w:lang w:val="uk-UA"/>
        </w:rPr>
        <w:t>і</w:t>
      </w:r>
      <w:r w:rsidRPr="00A40F64">
        <w:t xml:space="preserve">нші програми та заходи у сфері освіти </w:t>
      </w:r>
      <w:r w:rsidRPr="00A40F64">
        <w:rPr>
          <w:lang w:val="uk-UA"/>
        </w:rPr>
        <w:t>– 110,0 тис. грн;</w:t>
      </w:r>
    </w:p>
    <w:p w:rsidR="005E5AB4" w:rsidRPr="00A40F64" w:rsidRDefault="005E5AB4" w:rsidP="005E5AB4">
      <w:pPr>
        <w:pStyle w:val="a7"/>
        <w:numPr>
          <w:ilvl w:val="0"/>
          <w:numId w:val="12"/>
        </w:numPr>
        <w:spacing w:after="200" w:line="276" w:lineRule="auto"/>
        <w:ind w:left="709"/>
        <w:jc w:val="both"/>
      </w:pPr>
      <w:r w:rsidRPr="00A40F64">
        <w:t xml:space="preserve">надання освіти за рахунок субвенції з державного бюджету місцевим бюджетам на надання державної </w:t>
      </w:r>
      <w:proofErr w:type="gramStart"/>
      <w:r w:rsidRPr="00A40F64">
        <w:t>п</w:t>
      </w:r>
      <w:proofErr w:type="gramEnd"/>
      <w:r w:rsidRPr="00A40F64">
        <w:t>ідтримки особам з особливими освітніми потребами - 395,6 тис. грн.</w:t>
      </w:r>
    </w:p>
    <w:p w:rsidR="005E5AB4" w:rsidRPr="00A40F64" w:rsidRDefault="005E5AB4" w:rsidP="005E5AB4">
      <w:pPr>
        <w:spacing w:line="276" w:lineRule="auto"/>
        <w:ind w:left="567"/>
        <w:jc w:val="both"/>
        <w:rPr>
          <w:b/>
          <w:spacing w:val="-4"/>
          <w:lang w:val="uk-UA"/>
        </w:rPr>
      </w:pPr>
      <w:r w:rsidRPr="00A40F64">
        <w:rPr>
          <w:lang w:val="uk-UA"/>
        </w:rPr>
        <w:t xml:space="preserve">  </w:t>
      </w:r>
      <w:r w:rsidRPr="00A40F64">
        <w:rPr>
          <w:b/>
          <w:lang w:val="uk-UA"/>
        </w:rPr>
        <w:t xml:space="preserve">Структура напрямків асигнувань у розрізі </w:t>
      </w:r>
      <w:r w:rsidRPr="00A40F64">
        <w:rPr>
          <w:b/>
          <w:spacing w:val="-4"/>
        </w:rPr>
        <w:t>бюджетних програм</w:t>
      </w:r>
    </w:p>
    <w:p w:rsidR="005E5AB4" w:rsidRPr="00A40F64" w:rsidRDefault="005E5AB4" w:rsidP="005E5AB4">
      <w:pPr>
        <w:ind w:left="567"/>
        <w:jc w:val="center"/>
        <w:rPr>
          <w:b/>
          <w:lang w:val="uk-UA"/>
        </w:rPr>
      </w:pPr>
      <w:r w:rsidRPr="00A40F64">
        <w:rPr>
          <w:b/>
          <w:spacing w:val="-4"/>
          <w:lang w:val="uk-UA"/>
        </w:rPr>
        <w:t>по</w:t>
      </w:r>
      <w:r w:rsidRPr="00A40F64">
        <w:rPr>
          <w:b/>
          <w:spacing w:val="-4"/>
        </w:rPr>
        <w:t xml:space="preserve"> </w:t>
      </w:r>
      <w:r w:rsidRPr="00A40F64">
        <w:rPr>
          <w:b/>
          <w:lang w:val="uk-UA"/>
        </w:rPr>
        <w:t xml:space="preserve">галузі «Освіта» </w:t>
      </w:r>
    </w:p>
    <w:p w:rsidR="005E5AB4" w:rsidRPr="00A40F64" w:rsidRDefault="005E5AB4" w:rsidP="005E5AB4">
      <w:pPr>
        <w:ind w:left="567"/>
        <w:jc w:val="center"/>
      </w:pPr>
      <w:r w:rsidRPr="00A40F64">
        <w:rPr>
          <w:b/>
          <w:lang w:val="uk-UA"/>
        </w:rPr>
        <w:t xml:space="preserve">                                                                                                    </w:t>
      </w:r>
      <w:r w:rsidRPr="00A40F64">
        <w:rPr>
          <w:lang w:val="uk-UA"/>
        </w:rPr>
        <w:t>у відсотках</w:t>
      </w: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lastRenderedPageBreak/>
        <w:drawing>
          <wp:inline distT="0" distB="0" distL="0" distR="0">
            <wp:extent cx="6417945" cy="7496175"/>
            <wp:effectExtent l="0" t="0" r="0" b="0"/>
            <wp:docPr id="228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5AB4" w:rsidRPr="00A40F64" w:rsidRDefault="005E5AB4" w:rsidP="005E5AB4">
      <w:pPr>
        <w:spacing w:line="276" w:lineRule="auto"/>
        <w:ind w:firstLine="709"/>
        <w:jc w:val="both"/>
      </w:pPr>
      <w:r w:rsidRPr="00A40F64">
        <w:rPr>
          <w:lang w:val="uk-UA"/>
        </w:rPr>
        <w:t>К</w:t>
      </w:r>
      <w:r w:rsidRPr="00A40F64">
        <w:t xml:space="preserve">асові видатки </w:t>
      </w:r>
      <w:r w:rsidRPr="00A40F64">
        <w:rPr>
          <w:b/>
        </w:rPr>
        <w:t>загального</w:t>
      </w:r>
      <w:r w:rsidRPr="00A40F64">
        <w:t xml:space="preserve"> </w:t>
      </w:r>
      <w:r w:rsidRPr="00A40F64">
        <w:rPr>
          <w:b/>
        </w:rPr>
        <w:t>фонду</w:t>
      </w:r>
      <w:r w:rsidRPr="00A40F64">
        <w:t xml:space="preserve"> </w:t>
      </w:r>
      <w:r w:rsidRPr="00A40F64">
        <w:rPr>
          <w:lang w:val="uk-UA"/>
        </w:rPr>
        <w:t>по галузі «Освіта» з</w:t>
      </w:r>
      <w:r w:rsidRPr="00A40F64">
        <w:t xml:space="preserve">а економічною класифікацією </w:t>
      </w:r>
      <w:r w:rsidRPr="00A40F64">
        <w:rPr>
          <w:lang w:val="uk-UA"/>
        </w:rPr>
        <w:t>у</w:t>
      </w:r>
      <w:r w:rsidRPr="00A40F64">
        <w:t xml:space="preserve"> 202</w:t>
      </w:r>
      <w:r w:rsidRPr="00A40F64">
        <w:rPr>
          <w:lang w:val="uk-UA"/>
        </w:rPr>
        <w:t>3</w:t>
      </w:r>
      <w:r w:rsidRPr="00A40F64">
        <w:t xml:space="preserve"> році проведено </w:t>
      </w:r>
      <w:r w:rsidRPr="00A40F64">
        <w:rPr>
          <w:lang w:val="uk-UA"/>
        </w:rPr>
        <w:t>за</w:t>
      </w:r>
      <w:r w:rsidRPr="00A40F64">
        <w:t xml:space="preserve"> наступним</w:t>
      </w:r>
      <w:r w:rsidRPr="00A40F64">
        <w:rPr>
          <w:lang w:val="uk-UA"/>
        </w:rPr>
        <w:t>и напрямками</w:t>
      </w:r>
      <w:r w:rsidRPr="00A40F64">
        <w:t>: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заробітна плата з нарахуваннями – 172 919,1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11872,8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предмети, матеріали, обладнання та інвентар – 3809,1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366,7 тис. грн менше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медикаменти та перев</w:t>
      </w:r>
      <w:proofErr w:type="gramStart"/>
      <w:r w:rsidRPr="00A40F64">
        <w:t>`я</w:t>
      </w:r>
      <w:proofErr w:type="gramEnd"/>
      <w:r w:rsidRPr="00A40F64">
        <w:t>зувальні матеріали – 49,5 тис. грн, або на 5,5 тис. грн менше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продукти харчування – 2 635,0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1617,4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lastRenderedPageBreak/>
        <w:t>оплата послуг (крім комунальних) – 1 121,9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47,8 тис. грн менше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видатки на відрядження – 53,4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10,0 тис. грн менше ніж у 2022 році;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оплата водопостачання та водовідведення – 166,9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13,9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оплата електроенергії – 7217,8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435,9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оплата інших енергоносіїв та інших комунальних послуг – 2964,7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1 022,5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інші видатки – 32,6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24,5 тис. грн більше ніж у 2022 році.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</w:pPr>
      <w:r w:rsidRPr="00A40F64">
        <w:rPr>
          <w:lang w:val="uk-UA"/>
        </w:rPr>
        <w:t xml:space="preserve">Видатки </w:t>
      </w:r>
      <w:r w:rsidRPr="00A40F64">
        <w:rPr>
          <w:b/>
          <w:lang w:val="uk-UA"/>
        </w:rPr>
        <w:t>спеціального фонду</w:t>
      </w:r>
      <w:r w:rsidRPr="00A40F64">
        <w:rPr>
          <w:lang w:val="uk-UA"/>
        </w:rPr>
        <w:t xml:space="preserve"> по галузі «Освіта» за економічною класифікацією у 2023 році проведено за</w:t>
      </w:r>
      <w:r w:rsidRPr="00A40F64">
        <w:t xml:space="preserve"> такими</w:t>
      </w:r>
      <w:r w:rsidRPr="00A40F64">
        <w:rPr>
          <w:lang w:val="uk-UA"/>
        </w:rPr>
        <w:t xml:space="preserve"> напрямками</w:t>
      </w:r>
      <w:r w:rsidRPr="00A40F64">
        <w:t>: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заробітна плата з нарахуваннями – 239,6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209,6 тис. грн менше ніж у 2022 році;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</w:pPr>
      <w:r w:rsidRPr="00A40F64">
        <w:t>предмети, матеріали, обладнання та інвентар – 1525,8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768,5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</w:pPr>
      <w:r w:rsidRPr="00A40F64">
        <w:t>продукти харчування – 2232,6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994,8 тис. грн більше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</w:pPr>
      <w:r w:rsidRPr="00A40F64">
        <w:t>оплата послуг (крім комунальних) – 45,1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30,3 тис. грн більше ніж у 2022 році 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видатки на відрядження – 4,5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4,5 тис. грн більше ніж у 2022 році;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оплата водопостачання та водовідведення – 4,6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3,5 тис. грн більше ніж у 2022 році;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оплата інших енергоносіїв та інших комунальних послуг – 125,8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87,3 тис. грн більше ніж у 2022 році;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</w:pPr>
      <w:r w:rsidRPr="00A40F64">
        <w:t>придбання обладнання і предметів довгострокового користування – 839,7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368,8 тис. грн більше ніж у 2022 році; 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</w:pPr>
      <w:r w:rsidRPr="00A40F64">
        <w:t>капітальний ремонт – 589,2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або на 68,5 тис. грн менше ніж у 2022 році;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jc w:val="both"/>
      </w:pPr>
      <w:r w:rsidRPr="00A40F64">
        <w:t>інші видатки – 0,4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або на 1,4 тис. грн менше ніж у 2022 році. </w:t>
      </w:r>
    </w:p>
    <w:p w:rsidR="005E5AB4" w:rsidRPr="00A40F64" w:rsidRDefault="005E5AB4" w:rsidP="005E5AB4">
      <w:pPr>
        <w:pStyle w:val="a7"/>
        <w:tabs>
          <w:tab w:val="left" w:pos="851"/>
        </w:tabs>
        <w:ind w:left="709"/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Із загальної суми видатків у звітному періоді по закладах освіти здійснено ряд видатків, які варто зазначити, а саме:</w:t>
      </w:r>
    </w:p>
    <w:p w:rsidR="005E5AB4" w:rsidRPr="00A40F64" w:rsidRDefault="005E5AB4" w:rsidP="005E5AB4">
      <w:pPr>
        <w:jc w:val="both"/>
        <w:rPr>
          <w:lang w:val="uk-UA"/>
        </w:rPr>
      </w:pPr>
    </w:p>
    <w:p w:rsidR="005E5AB4" w:rsidRPr="00A40F64" w:rsidRDefault="005E5AB4" w:rsidP="005E5AB4">
      <w:pPr>
        <w:pStyle w:val="a7"/>
        <w:numPr>
          <w:ilvl w:val="0"/>
          <w:numId w:val="29"/>
        </w:numPr>
        <w:ind w:left="0" w:firstLine="709"/>
      </w:pPr>
      <w:r w:rsidRPr="00A40F64">
        <w:rPr>
          <w:b/>
          <w:i/>
        </w:rPr>
        <w:t>Забезпечення матеріально-технічної та навчально-методичної бази освітніх закладі</w:t>
      </w:r>
      <w:proofErr w:type="gramStart"/>
      <w:r w:rsidRPr="00A40F64">
        <w:rPr>
          <w:b/>
          <w:i/>
        </w:rPr>
        <w:t>в</w:t>
      </w:r>
      <w:proofErr w:type="gramEnd"/>
      <w:r w:rsidRPr="00A40F64">
        <w:t>:</w:t>
      </w:r>
    </w:p>
    <w:p w:rsidR="005E5AB4" w:rsidRPr="00A40F64" w:rsidRDefault="005E5AB4" w:rsidP="005E5AB4">
      <w:pPr>
        <w:ind w:left="709"/>
        <w:jc w:val="both"/>
        <w:rPr>
          <w:lang w:val="uk-UA"/>
        </w:rPr>
      </w:pP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придбання шкільних меблів – 579,6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рн, з них 508,6 тис. грн (кошти обласного бюджету), та 71,0 тис. грн (кошти селищного бюджету);</w:t>
      </w:r>
    </w:p>
    <w:p w:rsidR="005E5AB4" w:rsidRPr="00A40F64" w:rsidRDefault="005E5AB4" w:rsidP="005E5AB4">
      <w:pPr>
        <w:numPr>
          <w:ilvl w:val="0"/>
          <w:numId w:val="8"/>
        </w:numPr>
        <w:jc w:val="both"/>
        <w:rPr>
          <w:lang w:val="uk-UA"/>
        </w:rPr>
      </w:pPr>
      <w:r w:rsidRPr="00A40F64">
        <w:rPr>
          <w:lang w:val="uk-UA"/>
        </w:rPr>
        <w:t xml:space="preserve"> придбання матеріалів (меблів) для облаштування споруд цивільного захисту (укриття) для закладів дошкільної освіти  -  166,4 тис. грн; 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придбання автозапчастин -150,0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придбання джерел резервного живлення – 130,0 тис</w:t>
      </w:r>
      <w:proofErr w:type="gramStart"/>
      <w:r w:rsidRPr="00A40F64">
        <w:t>.г</w:t>
      </w:r>
      <w:proofErr w:type="gramEnd"/>
      <w:r w:rsidRPr="00A40F64">
        <w:t>рн (для Криворівнянського ЗДО «Червона шапочка» – 60,0 тис.грн, Голівського ЗДО «Ластівка» - 40,0 тис.грн, Великоходацькій гімназії - 30,0 тис.грн) (кошти обласного бюджету) 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  <w:rPr>
          <w:b/>
        </w:rPr>
      </w:pPr>
      <w:r w:rsidRPr="00A40F64">
        <w:t>придбання принтерів у Велико-Ходацьку гімназію і Красноїльський ЗДО -19,4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 xml:space="preserve">ремонт </w:t>
      </w:r>
      <w:proofErr w:type="gramStart"/>
      <w:r w:rsidRPr="00A40F64">
        <w:t>п</w:t>
      </w:r>
      <w:proofErr w:type="gramEnd"/>
      <w:r w:rsidRPr="00A40F64">
        <w:t>ічного опалення Перехреснянської гімназії ім. М.Вахнюка - 30,0 тис. грн (кошти обласного бюджету) 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  <w:rPr>
          <w:b/>
        </w:rPr>
      </w:pPr>
      <w:r w:rsidRPr="00A40F64">
        <w:t>придбання ігрового майданчика для Верхньоясенівського закладу дошкільної освіти «Гуцулятко» - 40,0 тис</w:t>
      </w:r>
      <w:proofErr w:type="gramStart"/>
      <w:r w:rsidRPr="00A40F64">
        <w:t>.г</w:t>
      </w:r>
      <w:proofErr w:type="gramEnd"/>
      <w:r w:rsidRPr="00A40F64">
        <w:t>рн (кошти обласного бюджету);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  <w:rPr>
          <w:b/>
        </w:rPr>
      </w:pPr>
      <w:r w:rsidRPr="00A40F64">
        <w:t>придбання м’ясорубки для Верховинського ЗДО «Сонечко» – 8,6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  <w:rPr>
          <w:b/>
        </w:rPr>
      </w:pPr>
      <w:r w:rsidRPr="00A40F64">
        <w:t>придбання пральної машинки для Верховинського ЗДО «Сонечко»-42,6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  <w:rPr>
          <w:b/>
        </w:rPr>
      </w:pPr>
      <w:r w:rsidRPr="00A40F64">
        <w:lastRenderedPageBreak/>
        <w:t>придбання паро конвекційних печей для Криворівнянського і Красноїльського ліцеїв - 123,3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 xml:space="preserve">придбання пального для </w:t>
      </w:r>
      <w:proofErr w:type="gramStart"/>
      <w:r w:rsidRPr="00A40F64">
        <w:t>п</w:t>
      </w:r>
      <w:proofErr w:type="gramEnd"/>
      <w:r w:rsidRPr="00A40F64">
        <w:t>ідвозу учнів та для розпилювання дров – 1 250,0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ind w:left="709"/>
        <w:jc w:val="both"/>
      </w:pPr>
      <w:r w:rsidRPr="00A40F64">
        <w:t>придбання дров – 2 497,5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оплата за спожиті енергоносії – 9 042,1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закупівля шкільної документації – 65,3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tabs>
          <w:tab w:val="left" w:pos="6600"/>
        </w:tabs>
        <w:jc w:val="both"/>
      </w:pPr>
      <w:r w:rsidRPr="00A40F64">
        <w:t xml:space="preserve">придбання і доставка </w:t>
      </w:r>
      <w:proofErr w:type="gramStart"/>
      <w:r w:rsidRPr="00A40F64">
        <w:t>п</w:t>
      </w:r>
      <w:proofErr w:type="gramEnd"/>
      <w:r w:rsidRPr="00A40F64">
        <w:t>ідручників -130,5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закупівля медикаментів – 35,0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 xml:space="preserve">придбання продуктів харчування для дітей </w:t>
      </w:r>
      <w:proofErr w:type="gramStart"/>
      <w:r w:rsidRPr="00A40F64">
        <w:t>п</w:t>
      </w:r>
      <w:proofErr w:type="gramEnd"/>
      <w:r w:rsidRPr="00A40F64">
        <w:t>ільгових категорій (ВПО, дітей напівсиріт, дітей батьки яких воюють, дітей батьки яких зникли безвісти) – 2 255,5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придбання метало пластикових вікон для Верховинського ліцею №1 – 40,0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ремонт частини системи водопостачання в спальних корпусах Верховинського ліцею №1 – 96,7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f3"/>
        <w:numPr>
          <w:ilvl w:val="0"/>
          <w:numId w:val="8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A40F64">
        <w:rPr>
          <w:rFonts w:ascii="Times New Roman" w:hAnsi="Times New Roman"/>
          <w:sz w:val="24"/>
          <w:szCs w:val="24"/>
        </w:rPr>
        <w:t>проведення поточного ремонту пічного опалення Верховинської дитячої школи мистецтв - 80,0 тис. грн (кошти обласного бюджету);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jc w:val="both"/>
      </w:pPr>
      <w:r w:rsidRPr="00A40F64">
        <w:t>заміна електрообладнання та електромережі в споруді цивільного захисту (укритті) Ільцівського ліцею - 50,0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 (кошти обласного бюджету);</w:t>
      </w:r>
    </w:p>
    <w:p w:rsidR="005E5AB4" w:rsidRPr="00A40F64" w:rsidRDefault="005E5AB4" w:rsidP="005E5AB4">
      <w:pPr>
        <w:pStyle w:val="a7"/>
        <w:ind w:left="644"/>
        <w:jc w:val="both"/>
      </w:pPr>
    </w:p>
    <w:p w:rsidR="005E5AB4" w:rsidRPr="00A40F64" w:rsidRDefault="005E5AB4" w:rsidP="005E5AB4">
      <w:pPr>
        <w:pStyle w:val="a7"/>
        <w:numPr>
          <w:ilvl w:val="0"/>
          <w:numId w:val="29"/>
        </w:numPr>
        <w:ind w:left="0" w:firstLine="709"/>
        <w:jc w:val="both"/>
        <w:rPr>
          <w:b/>
          <w:i/>
        </w:rPr>
      </w:pPr>
      <w:proofErr w:type="gramStart"/>
      <w:r w:rsidRPr="00A40F64">
        <w:rPr>
          <w:b/>
          <w:i/>
        </w:rPr>
        <w:t>П</w:t>
      </w:r>
      <w:proofErr w:type="gramEnd"/>
      <w:r w:rsidRPr="00A40F64">
        <w:rPr>
          <w:b/>
          <w:i/>
        </w:rPr>
        <w:t>ідготовка для опалювального сезону:</w:t>
      </w:r>
    </w:p>
    <w:p w:rsidR="005E5AB4" w:rsidRPr="00A40F64" w:rsidRDefault="005E5AB4" w:rsidP="005E5AB4">
      <w:pPr>
        <w:pStyle w:val="a7"/>
        <w:ind w:left="1429"/>
        <w:jc w:val="both"/>
        <w:rPr>
          <w:b/>
          <w:i/>
        </w:rPr>
      </w:pP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</w:pPr>
      <w:r w:rsidRPr="00A40F64">
        <w:t>придбання генераторів для Перехресненської гімназії, Криворівнянського та  Голівського ЗДО – 130,0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  <w:rPr>
          <w:b/>
        </w:rPr>
      </w:pPr>
      <w:r w:rsidRPr="00A40F64">
        <w:t>ремонт системи опалення Верховинського ліцею і Верховинської початкової школи – 77,6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426"/>
        <w:jc w:val="both"/>
      </w:pPr>
      <w:r w:rsidRPr="00A40F64">
        <w:t xml:space="preserve">проведення технічного  огляду котлів </w:t>
      </w:r>
      <w:proofErr w:type="gramStart"/>
      <w:r w:rsidRPr="00A40F64">
        <w:t>в</w:t>
      </w:r>
      <w:proofErr w:type="gramEnd"/>
      <w:r w:rsidRPr="00A40F64">
        <w:t xml:space="preserve"> усіх освітніх закладах- 20,5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</w:pPr>
      <w:r w:rsidRPr="00A40F64">
        <w:t>придбання електротоварів для заміни електропроводки (в Ільцівському і Криворівнянському ліцеях, Буковецькій і Велико-Ходацькій гімназіях, Верховинській початковій школі) – 117,3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426"/>
        <w:jc w:val="both"/>
      </w:pPr>
      <w:r w:rsidRPr="00A40F64">
        <w:t xml:space="preserve">придбання матеріалів для утеплення </w:t>
      </w:r>
      <w:proofErr w:type="gramStart"/>
      <w:r w:rsidRPr="00A40F64">
        <w:t>п</w:t>
      </w:r>
      <w:proofErr w:type="gramEnd"/>
      <w:r w:rsidRPr="00A40F64">
        <w:t>ідлоги (керамзит) спортивного залу в Ільцівському ліцеї   – 99,9</w:t>
      </w:r>
      <w:r w:rsidRPr="00A40F64">
        <w:rPr>
          <w:bCs/>
        </w:rPr>
        <w:t xml:space="preserve"> тис.</w:t>
      </w:r>
      <w:r w:rsidRPr="00A40F64">
        <w:t xml:space="preserve"> грн.</w:t>
      </w:r>
    </w:p>
    <w:p w:rsidR="005E5AB4" w:rsidRPr="00A40F64" w:rsidRDefault="005E5AB4" w:rsidP="005E5AB4">
      <w:pPr>
        <w:pStyle w:val="a7"/>
        <w:tabs>
          <w:tab w:val="left" w:pos="6600"/>
        </w:tabs>
        <w:jc w:val="both"/>
      </w:pPr>
    </w:p>
    <w:p w:rsidR="005E5AB4" w:rsidRPr="00A40F64" w:rsidRDefault="005E5AB4" w:rsidP="005E5AB4">
      <w:pPr>
        <w:pStyle w:val="a7"/>
        <w:numPr>
          <w:ilvl w:val="0"/>
          <w:numId w:val="29"/>
        </w:numPr>
        <w:jc w:val="both"/>
        <w:rPr>
          <w:b/>
          <w:i/>
        </w:rPr>
      </w:pPr>
      <w:r w:rsidRPr="00A40F64">
        <w:rPr>
          <w:b/>
          <w:i/>
        </w:rPr>
        <w:t>Облаштування  споруд цивільного захисту</w:t>
      </w:r>
      <w:proofErr w:type="gramStart"/>
      <w:r w:rsidRPr="00A40F64">
        <w:rPr>
          <w:b/>
          <w:i/>
        </w:rPr>
        <w:t xml:space="preserve"> :</w:t>
      </w:r>
      <w:proofErr w:type="gramEnd"/>
    </w:p>
    <w:p w:rsidR="005E5AB4" w:rsidRPr="00A40F64" w:rsidRDefault="005E5AB4" w:rsidP="005E5AB4">
      <w:pPr>
        <w:pStyle w:val="a7"/>
        <w:ind w:left="1429"/>
        <w:jc w:val="both"/>
        <w:rPr>
          <w:b/>
          <w:i/>
        </w:rPr>
      </w:pP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  <w:rPr>
          <w:b/>
        </w:rPr>
      </w:pPr>
      <w:r w:rsidRPr="00A40F64">
        <w:t xml:space="preserve">ремонт та </w:t>
      </w:r>
      <w:proofErr w:type="gramStart"/>
      <w:r w:rsidRPr="00A40F64">
        <w:t>п</w:t>
      </w:r>
      <w:proofErr w:type="gramEnd"/>
      <w:r w:rsidRPr="00A40F64">
        <w:t>ідготовка укриття по школах – 135,7 тис. грн;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  <w:rPr>
          <w:b/>
        </w:rPr>
      </w:pPr>
      <w:r w:rsidRPr="00A40F64">
        <w:t>ремонт укриття по закладах дошкільної освіти – 259,5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spacing w:line="276" w:lineRule="auto"/>
        <w:ind w:left="0" w:firstLine="426"/>
        <w:jc w:val="both"/>
        <w:rPr>
          <w:b/>
        </w:rPr>
      </w:pPr>
      <w:r w:rsidRPr="00A40F64">
        <w:t>придбання щебеню для Красноїльського ліцею – 21,0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tabs>
          <w:tab w:val="left" w:pos="0"/>
        </w:tabs>
        <w:ind w:left="426"/>
        <w:jc w:val="both"/>
      </w:pPr>
      <w:r w:rsidRPr="00A40F64">
        <w:t xml:space="preserve"> </w:t>
      </w:r>
    </w:p>
    <w:p w:rsidR="005E5AB4" w:rsidRPr="00A40F64" w:rsidRDefault="005E5AB4" w:rsidP="005E5AB4">
      <w:pPr>
        <w:pStyle w:val="a7"/>
        <w:tabs>
          <w:tab w:val="left" w:pos="6600"/>
        </w:tabs>
        <w:jc w:val="both"/>
        <w:rPr>
          <w:color w:val="FF0000"/>
        </w:rPr>
      </w:pPr>
    </w:p>
    <w:p w:rsidR="005E5AB4" w:rsidRPr="00A40F64" w:rsidRDefault="005E5AB4" w:rsidP="005E5AB4">
      <w:pPr>
        <w:pStyle w:val="a7"/>
        <w:numPr>
          <w:ilvl w:val="0"/>
          <w:numId w:val="29"/>
        </w:numPr>
        <w:jc w:val="both"/>
        <w:rPr>
          <w:b/>
          <w:i/>
        </w:rPr>
      </w:pPr>
      <w:r w:rsidRPr="00A40F64">
        <w:rPr>
          <w:b/>
          <w:i/>
        </w:rPr>
        <w:t xml:space="preserve">Ремонтні роботи </w:t>
      </w:r>
      <w:proofErr w:type="gramStart"/>
      <w:r w:rsidRPr="00A40F64">
        <w:rPr>
          <w:b/>
          <w:i/>
        </w:rPr>
        <w:t>по</w:t>
      </w:r>
      <w:proofErr w:type="gramEnd"/>
      <w:r w:rsidRPr="00A40F64">
        <w:rPr>
          <w:b/>
          <w:i/>
        </w:rPr>
        <w:t xml:space="preserve"> закладах освіти:</w:t>
      </w:r>
    </w:p>
    <w:p w:rsidR="005E5AB4" w:rsidRPr="00A40F64" w:rsidRDefault="005E5AB4" w:rsidP="005E5AB4">
      <w:pPr>
        <w:pStyle w:val="a7"/>
        <w:ind w:left="1429"/>
        <w:jc w:val="both"/>
        <w:rPr>
          <w:b/>
          <w:i/>
        </w:rPr>
      </w:pPr>
    </w:p>
    <w:p w:rsidR="005E5AB4" w:rsidRPr="00A40F64" w:rsidRDefault="005E5AB4" w:rsidP="005E5AB4">
      <w:pPr>
        <w:pStyle w:val="a7"/>
        <w:numPr>
          <w:ilvl w:val="0"/>
          <w:numId w:val="8"/>
        </w:numPr>
        <w:ind w:left="0" w:firstLine="426"/>
        <w:jc w:val="both"/>
        <w:rPr>
          <w:b/>
        </w:rPr>
      </w:pPr>
      <w:r w:rsidRPr="00A40F64">
        <w:t>облаштування Шелтеру для внутрішньо переміщених осіб (капітальний ремонт пансіонату Буковецької гімназії Верховинської селищної ради  – 300,0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 (кошти обласного бюджету);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A40F64">
        <w:t>придбання господарських товарів та будівельних матеріалів для поточного ремонту  закладів  дошкільної освіти – 387,4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A40F64">
        <w:t>придбання господарських товарів та будівельних матеріалів для ремонту закладів  ЗЗСО – 886,9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8"/>
        </w:numPr>
        <w:ind w:left="0" w:firstLine="426"/>
        <w:jc w:val="both"/>
        <w:rPr>
          <w:b/>
        </w:rPr>
      </w:pPr>
      <w:r w:rsidRPr="00A40F64">
        <w:t>ремонт вхідних сходів та ремонт фундаменту  для Верховинського ЗДО «Сонечко» – 245,3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ind w:left="426"/>
        <w:jc w:val="both"/>
      </w:pPr>
    </w:p>
    <w:p w:rsidR="005E5AB4" w:rsidRPr="00A40F64" w:rsidRDefault="005E5AB4" w:rsidP="005E5AB4">
      <w:pPr>
        <w:jc w:val="both"/>
        <w:rPr>
          <w:b/>
          <w:color w:val="FF0000"/>
          <w:lang w:val="uk-UA"/>
        </w:rPr>
      </w:pPr>
    </w:p>
    <w:p w:rsidR="005E5AB4" w:rsidRPr="00A40F64" w:rsidRDefault="005E5AB4" w:rsidP="005E5AB4">
      <w:pPr>
        <w:tabs>
          <w:tab w:val="left" w:pos="6600"/>
        </w:tabs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tabs>
          <w:tab w:val="left" w:pos="6600"/>
        </w:tabs>
        <w:jc w:val="center"/>
        <w:rPr>
          <w:b/>
          <w:lang w:val="uk-UA"/>
        </w:rPr>
      </w:pPr>
    </w:p>
    <w:p w:rsidR="005E5AB4" w:rsidRPr="00A40F64" w:rsidRDefault="005E5AB4" w:rsidP="005E5AB4">
      <w:pPr>
        <w:tabs>
          <w:tab w:val="left" w:pos="6600"/>
        </w:tabs>
        <w:jc w:val="center"/>
        <w:rPr>
          <w:b/>
          <w:lang w:val="uk-UA"/>
        </w:rPr>
      </w:pPr>
    </w:p>
    <w:p w:rsidR="005E5AB4" w:rsidRPr="00A40F64" w:rsidRDefault="005E5AB4" w:rsidP="005E5AB4">
      <w:pPr>
        <w:tabs>
          <w:tab w:val="left" w:pos="6600"/>
        </w:tabs>
        <w:jc w:val="center"/>
        <w:rPr>
          <w:b/>
          <w:lang w:val="uk-UA"/>
        </w:rPr>
      </w:pPr>
    </w:p>
    <w:p w:rsidR="005E5AB4" w:rsidRPr="00A40F64" w:rsidRDefault="005E5AB4" w:rsidP="005E5AB4">
      <w:pPr>
        <w:tabs>
          <w:tab w:val="left" w:pos="6600"/>
        </w:tabs>
        <w:jc w:val="center"/>
        <w:rPr>
          <w:b/>
          <w:lang w:val="uk-UA"/>
        </w:rPr>
      </w:pPr>
      <w:r w:rsidRPr="00A40F64">
        <w:rPr>
          <w:b/>
          <w:lang w:val="uk-UA"/>
        </w:rPr>
        <w:t>Державне управління (0100)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uk-UA"/>
        </w:rPr>
      </w:pPr>
      <w:r w:rsidRPr="00A40F64">
        <w:rPr>
          <w:bCs/>
          <w:lang w:val="uk-UA"/>
        </w:rPr>
        <w:t>У</w:t>
      </w:r>
      <w:r w:rsidRPr="00A40F64">
        <w:rPr>
          <w:bCs/>
        </w:rPr>
        <w:t xml:space="preserve"> 202</w:t>
      </w:r>
      <w:r w:rsidRPr="00A40F64">
        <w:rPr>
          <w:bCs/>
          <w:lang w:val="uk-UA"/>
        </w:rPr>
        <w:t>3</w:t>
      </w:r>
      <w:r w:rsidRPr="00A40F64">
        <w:rPr>
          <w:bCs/>
        </w:rPr>
        <w:t xml:space="preserve"> ро</w:t>
      </w:r>
      <w:r w:rsidRPr="00A40F64">
        <w:rPr>
          <w:bCs/>
          <w:lang w:val="uk-UA"/>
        </w:rPr>
        <w:t>ці</w:t>
      </w:r>
      <w:r w:rsidRPr="00A40F64">
        <w:rPr>
          <w:bCs/>
        </w:rPr>
        <w:t xml:space="preserve"> видатки </w:t>
      </w:r>
      <w:r w:rsidRPr="00A40F64">
        <w:rPr>
          <w:bCs/>
          <w:lang w:val="uk-UA"/>
        </w:rPr>
        <w:t xml:space="preserve"> </w:t>
      </w:r>
      <w:r w:rsidRPr="00A40F64">
        <w:rPr>
          <w:bCs/>
        </w:rPr>
        <w:t xml:space="preserve">на утримання органів місцевого самоврядування  </w:t>
      </w:r>
      <w:r w:rsidRPr="00A40F64">
        <w:rPr>
          <w:bCs/>
          <w:lang w:val="uk-UA"/>
        </w:rPr>
        <w:t>склали в</w:t>
      </w:r>
      <w:r w:rsidRPr="00A40F64">
        <w:rPr>
          <w:bCs/>
        </w:rPr>
        <w:t xml:space="preserve"> сум</w:t>
      </w:r>
      <w:r w:rsidRPr="00A40F64">
        <w:rPr>
          <w:bCs/>
          <w:lang w:val="uk-UA"/>
        </w:rPr>
        <w:t>і</w:t>
      </w:r>
      <w:r w:rsidRPr="00A40F64">
        <w:rPr>
          <w:bCs/>
        </w:rPr>
        <w:t xml:space="preserve"> </w:t>
      </w:r>
      <w:r w:rsidRPr="00A40F64">
        <w:rPr>
          <w:bCs/>
          <w:lang w:val="uk-UA"/>
        </w:rPr>
        <w:t>19 655,9</w:t>
      </w:r>
      <w:r w:rsidRPr="00A40F64">
        <w:rPr>
          <w:bCs/>
        </w:rPr>
        <w:t xml:space="preserve"> тис. грн, з них по загальному  фонду</w:t>
      </w:r>
      <w:r w:rsidRPr="00A40F64">
        <w:rPr>
          <w:bCs/>
          <w:lang w:val="uk-UA"/>
        </w:rPr>
        <w:t xml:space="preserve"> –</w:t>
      </w:r>
      <w:r w:rsidRPr="00A40F64">
        <w:rPr>
          <w:bCs/>
        </w:rPr>
        <w:t xml:space="preserve"> </w:t>
      </w:r>
      <w:r w:rsidRPr="00A40F64">
        <w:rPr>
          <w:bCs/>
          <w:lang w:val="uk-UA"/>
        </w:rPr>
        <w:t>18 732,4</w:t>
      </w:r>
      <w:r w:rsidRPr="00A40F64">
        <w:rPr>
          <w:bCs/>
        </w:rPr>
        <w:t xml:space="preserve"> тис. грн</w:t>
      </w:r>
      <w:r w:rsidRPr="00A40F64">
        <w:rPr>
          <w:bCs/>
          <w:lang w:val="uk-UA"/>
        </w:rPr>
        <w:t>,</w:t>
      </w:r>
      <w:r w:rsidRPr="00A40F64">
        <w:rPr>
          <w:bCs/>
        </w:rPr>
        <w:t xml:space="preserve"> по  спеціальному  фонду</w:t>
      </w:r>
      <w:r w:rsidRPr="00A40F64">
        <w:rPr>
          <w:bCs/>
          <w:lang w:val="uk-UA"/>
        </w:rPr>
        <w:t xml:space="preserve"> – 921,4</w:t>
      </w:r>
      <w:r w:rsidRPr="00A40F64">
        <w:rPr>
          <w:bCs/>
        </w:rPr>
        <w:t xml:space="preserve"> тис. </w:t>
      </w:r>
      <w:r w:rsidRPr="00A40F64">
        <w:rPr>
          <w:bCs/>
          <w:lang w:val="uk-UA"/>
        </w:rPr>
        <w:t>г</w:t>
      </w:r>
      <w:r w:rsidRPr="00A40F64">
        <w:rPr>
          <w:bCs/>
        </w:rPr>
        <w:t>рн</w:t>
      </w:r>
      <w:r w:rsidRPr="00A40F64">
        <w:rPr>
          <w:bCs/>
          <w:lang w:val="uk-UA"/>
        </w:rPr>
        <w:t xml:space="preserve">  (за рахунок платних послуг, оренди – 389,3 тис. грн, безоплатної передачі меблів, комп</w:t>
      </w:r>
      <w:proofErr w:type="gramStart"/>
      <w:r w:rsidRPr="00A40F64">
        <w:rPr>
          <w:bCs/>
          <w:lang w:val="uk-UA"/>
        </w:rPr>
        <w:t>`ю</w:t>
      </w:r>
      <w:proofErr w:type="gramEnd"/>
      <w:r w:rsidRPr="00A40F64">
        <w:rPr>
          <w:bCs/>
          <w:lang w:val="uk-UA"/>
        </w:rPr>
        <w:t>терної техніки, обладнання, двох автомобілів – 532,1 тис. грн).</w:t>
      </w:r>
    </w:p>
    <w:p w:rsidR="005E5AB4" w:rsidRPr="00A40F64" w:rsidRDefault="005E5AB4" w:rsidP="005E5AB4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FF0000"/>
          <w:lang w:val="uk-UA"/>
        </w:rPr>
      </w:pPr>
      <w:r w:rsidRPr="00A40F64">
        <w:rPr>
          <w:bCs/>
          <w:lang w:val="uk-UA"/>
        </w:rPr>
        <w:t>У порівнянні з 2022 роком видатки</w:t>
      </w:r>
      <w:r w:rsidRPr="00A40F64">
        <w:rPr>
          <w:bCs/>
        </w:rPr>
        <w:t xml:space="preserve"> </w:t>
      </w:r>
      <w:r w:rsidRPr="00A40F64">
        <w:rPr>
          <w:bCs/>
          <w:lang w:val="uk-UA"/>
        </w:rPr>
        <w:t xml:space="preserve"> </w:t>
      </w:r>
      <w:r w:rsidRPr="00A40F64">
        <w:rPr>
          <w:bCs/>
        </w:rPr>
        <w:t xml:space="preserve">на утримання органів місцевого самоврядування  </w:t>
      </w:r>
      <w:r w:rsidRPr="00A40F64">
        <w:rPr>
          <w:bCs/>
          <w:lang w:val="uk-UA"/>
        </w:rPr>
        <w:t xml:space="preserve">в 2023 році по загальному фонду збільшились на 124,7 тис.  грн, або на 1,3 відсотка, по спеціальному фонду зменшились на 126,8 тис. грн, або на 12 відсотків. </w:t>
      </w:r>
    </w:p>
    <w:p w:rsidR="005E5AB4" w:rsidRPr="00A40F64" w:rsidRDefault="005E5AB4" w:rsidP="005E5AB4">
      <w:pPr>
        <w:shd w:val="clear" w:color="auto" w:fill="FFFFFF"/>
        <w:tabs>
          <w:tab w:val="left" w:pos="0"/>
        </w:tabs>
        <w:ind w:firstLine="709"/>
        <w:jc w:val="both"/>
        <w:rPr>
          <w:lang w:val="uk-UA"/>
        </w:rPr>
      </w:pPr>
      <w:r w:rsidRPr="00A40F64">
        <w:rPr>
          <w:spacing w:val="-2"/>
        </w:rPr>
        <w:t xml:space="preserve">При </w:t>
      </w:r>
      <w:r w:rsidRPr="00A40F64">
        <w:t xml:space="preserve">уточненому плані </w:t>
      </w:r>
      <w:r w:rsidRPr="00A40F64">
        <w:rPr>
          <w:lang w:val="uk-UA"/>
        </w:rPr>
        <w:t xml:space="preserve">загального фонду </w:t>
      </w:r>
      <w:r w:rsidRPr="00A40F64">
        <w:t xml:space="preserve">– </w:t>
      </w:r>
      <w:r w:rsidRPr="00A40F64">
        <w:rPr>
          <w:lang w:val="uk-UA"/>
        </w:rPr>
        <w:t>19 170,2</w:t>
      </w:r>
      <w:r w:rsidRPr="00A40F64">
        <w:t xml:space="preserve"> тис</w:t>
      </w:r>
      <w:proofErr w:type="gramStart"/>
      <w:r w:rsidRPr="00A40F64">
        <w:t>.г</w:t>
      </w:r>
      <w:proofErr w:type="gramEnd"/>
      <w:r w:rsidRPr="00A40F64">
        <w:t xml:space="preserve">рн, </w:t>
      </w:r>
      <w:r w:rsidRPr="00A40F64">
        <w:rPr>
          <w:lang w:val="uk-UA"/>
        </w:rPr>
        <w:t xml:space="preserve">в 2023 році </w:t>
      </w:r>
      <w:r w:rsidRPr="00A40F64">
        <w:t xml:space="preserve">асигнування освоєні на </w:t>
      </w:r>
      <w:r w:rsidRPr="00A40F64">
        <w:rPr>
          <w:lang w:val="uk-UA"/>
        </w:rPr>
        <w:t>97,7</w:t>
      </w:r>
      <w:r w:rsidRPr="00A40F64">
        <w:t xml:space="preserve"> відсотка</w:t>
      </w:r>
      <w:r w:rsidRPr="00A40F64">
        <w:rPr>
          <w:lang w:val="uk-UA"/>
        </w:rPr>
        <w:t xml:space="preserve">. </w:t>
      </w:r>
    </w:p>
    <w:p w:rsidR="005E5AB4" w:rsidRPr="00A40F64" w:rsidRDefault="005E5AB4" w:rsidP="005E5AB4">
      <w:pPr>
        <w:tabs>
          <w:tab w:val="left" w:pos="0"/>
        </w:tabs>
        <w:ind w:right="177" w:firstLine="709"/>
        <w:jc w:val="both"/>
        <w:rPr>
          <w:lang w:val="uk-UA"/>
        </w:rPr>
      </w:pPr>
      <w:r w:rsidRPr="00A40F64">
        <w:rPr>
          <w:lang w:val="uk-UA"/>
        </w:rPr>
        <w:t xml:space="preserve"> По захищених статтях витрат використання склало - 17 487,5  тис.грн (93,4  відсотка загального обсягу), з них : видатки на заробітну плату з нарахуваннями</w:t>
      </w:r>
      <w:r w:rsidRPr="00A40F64">
        <w:rPr>
          <w:color w:val="FF0000"/>
          <w:lang w:val="uk-UA"/>
        </w:rPr>
        <w:t xml:space="preserve"> </w:t>
      </w:r>
      <w:r w:rsidRPr="00A40F64">
        <w:rPr>
          <w:lang w:val="uk-UA"/>
        </w:rPr>
        <w:t xml:space="preserve">– 16 940,8 тис. грн, комунальні послуги та енергоносії – 546,7 тис. грн. </w:t>
      </w:r>
    </w:p>
    <w:p w:rsidR="005E5AB4" w:rsidRPr="00A40F64" w:rsidRDefault="005E5AB4" w:rsidP="005E5AB4">
      <w:pPr>
        <w:tabs>
          <w:tab w:val="left" w:pos="0"/>
        </w:tabs>
        <w:ind w:right="177" w:firstLine="709"/>
        <w:jc w:val="both"/>
        <w:rPr>
          <w:lang w:val="uk-UA"/>
        </w:rPr>
      </w:pPr>
      <w:r w:rsidRPr="00A40F64">
        <w:rPr>
          <w:lang w:val="uk-UA"/>
        </w:rPr>
        <w:t xml:space="preserve">Питома вага видатків на утримання </w:t>
      </w:r>
      <w:r w:rsidRPr="00A40F64">
        <w:rPr>
          <w:bCs/>
        </w:rPr>
        <w:t xml:space="preserve">органів місцевого самоврядування  </w:t>
      </w:r>
      <w:r w:rsidRPr="00A40F64">
        <w:rPr>
          <w:lang w:val="uk-UA"/>
        </w:rPr>
        <w:t>у структурі бюджету громади складає 7,8 відсотка.</w:t>
      </w:r>
    </w:p>
    <w:p w:rsidR="005E5AB4" w:rsidRPr="00A40F64" w:rsidRDefault="005E5AB4" w:rsidP="005E5AB4">
      <w:pPr>
        <w:tabs>
          <w:tab w:val="left" w:pos="0"/>
        </w:tabs>
        <w:ind w:right="177" w:firstLine="709"/>
        <w:jc w:val="both"/>
        <w:rPr>
          <w:lang w:val="uk-UA"/>
        </w:rPr>
      </w:pPr>
      <w:r w:rsidRPr="00A40F64">
        <w:rPr>
          <w:lang w:val="uk-UA"/>
        </w:rPr>
        <w:t xml:space="preserve">За рахунок зазначених коштів здійснювалось утримання апарату селищної ради, працівників старостинських округів, апарати: відділу освіти, молоді та спорту, відділу культури, фінансового управління, трудового архіву, служби у справах дітей. 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jc w:val="center"/>
        <w:rPr>
          <w:b/>
          <w:lang w:val="uk-UA"/>
        </w:rPr>
      </w:pPr>
      <w:r w:rsidRPr="00A40F64">
        <w:rPr>
          <w:b/>
          <w:lang w:val="uk-UA"/>
        </w:rPr>
        <w:t>Охорона здоров’я (2000)</w:t>
      </w:r>
    </w:p>
    <w:p w:rsidR="005E5AB4" w:rsidRPr="00A40F64" w:rsidRDefault="005E5AB4" w:rsidP="005E5AB4">
      <w:pPr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На території Верховинської селищної територіальної громади послуги охорони здоров’я надають два заклади – КНП «Верховинський центр первинної медико-санітарної допомоги» та КНП «Верховинська багатопрофільна лікарня» Верховинської селищної ради. Дані медичні заклади надають первинну медичну допомогу та кваліфіковане стаціонарне лікування пацієнтів жителям всього району. З бюджету громади фінансується оплата комунальних послуг та енергоносіїв вищезазначеним закладам, а також заходи по комплексній програмі «Здоров’я населення Прикарпаття на 2021- 2025 роки», затвердженій рішенням сесії селищної ради 24.12.2021 року № №210-16/2021. </w:t>
      </w:r>
    </w:p>
    <w:p w:rsidR="005E5AB4" w:rsidRPr="00A40F64" w:rsidRDefault="005E5AB4" w:rsidP="005E5AB4">
      <w:pPr>
        <w:jc w:val="both"/>
        <w:rPr>
          <w:b/>
          <w:color w:val="FF0000"/>
          <w:lang w:val="uk-UA"/>
        </w:rPr>
      </w:pPr>
      <w:r w:rsidRPr="00A40F64">
        <w:rPr>
          <w:color w:val="FF0000"/>
          <w:lang w:val="uk-UA"/>
        </w:rPr>
        <w:t xml:space="preserve">           </w:t>
      </w:r>
    </w:p>
    <w:p w:rsidR="005E5AB4" w:rsidRPr="00A40F64" w:rsidRDefault="005E5AB4" w:rsidP="005E5AB4">
      <w:pPr>
        <w:ind w:firstLine="708"/>
        <w:jc w:val="center"/>
        <w:rPr>
          <w:lang w:val="uk-UA"/>
        </w:rPr>
      </w:pPr>
      <w:r w:rsidRPr="00A40F64">
        <w:rPr>
          <w:b/>
          <w:lang w:val="uk-UA"/>
        </w:rPr>
        <w:t>Порівняльний обсяг фінансування закладів охорони здоров’</w:t>
      </w:r>
      <w:r w:rsidRPr="00A40F64">
        <w:rPr>
          <w:b/>
        </w:rPr>
        <w:t>я</w:t>
      </w:r>
      <w:r w:rsidRPr="00A40F64">
        <w:rPr>
          <w:b/>
          <w:lang w:val="uk-UA"/>
        </w:rPr>
        <w:t xml:space="preserve"> по загальному фонду за 2022-2023 роки</w:t>
      </w:r>
    </w:p>
    <w:p w:rsidR="005E5AB4" w:rsidRPr="00A40F64" w:rsidRDefault="005E5AB4" w:rsidP="005E5AB4">
      <w:pPr>
        <w:jc w:val="both"/>
        <w:rPr>
          <w:lang w:val="uk-UA"/>
        </w:rPr>
      </w:pPr>
      <w:r w:rsidRPr="00A40F64">
        <w:rPr>
          <w:lang w:val="uk-UA"/>
        </w:rPr>
        <w:t xml:space="preserve">                                                                                                                                                тис. грн</w:t>
      </w:r>
    </w:p>
    <w:p w:rsidR="005E5AB4" w:rsidRPr="00A40F64" w:rsidRDefault="005E5AB4" w:rsidP="005E5AB4">
      <w:pPr>
        <w:ind w:left="360"/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5913120" cy="3009900"/>
            <wp:effectExtent l="19050" t="0" r="11430" b="0"/>
            <wp:docPr id="22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color w:val="FF0000"/>
          <w:lang w:val="uk-UA"/>
        </w:rPr>
        <w:lastRenderedPageBreak/>
        <w:t xml:space="preserve">      </w:t>
      </w:r>
    </w:p>
    <w:p w:rsidR="005E5AB4" w:rsidRPr="00A40F64" w:rsidRDefault="005E5AB4" w:rsidP="005E5AB4">
      <w:pPr>
        <w:ind w:firstLine="709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Видатки по галузі «Охорона здоров’я» у 2023 році складають в сумі 4 883,0 тис. грн, з них: по загальному фонду – 4 794,2 тис. грн (в тому числі кошти, отримані у вигляді «Іншої субвенції» з бюджету Зеленської сільської територіальної громади – 89,3 тис. грн. для придбання дров паливних та оплата енергоносіїв для Зеленської амбулаторії КНП «Верховинський центр первинної медико-санітарної допомоги»), по спеціальному фонду – 88,8 тис. грн (за рахунок коштів обласного бюджету).   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shd w:val="clear" w:color="auto" w:fill="FFFFFF"/>
          <w:lang w:val="uk-UA"/>
        </w:rPr>
        <w:t xml:space="preserve">Із загальної суми видатків загального фонду </w:t>
      </w:r>
      <w:r w:rsidRPr="00A40F64">
        <w:rPr>
          <w:lang w:val="uk-UA"/>
        </w:rPr>
        <w:t xml:space="preserve">спрямовано кошти </w:t>
      </w:r>
      <w:r w:rsidRPr="00A40F64">
        <w:rPr>
          <w:shd w:val="clear" w:color="auto" w:fill="FFFFFF"/>
          <w:lang w:val="uk-UA"/>
        </w:rPr>
        <w:t>на відшкодування комунальних послуг (</w:t>
      </w:r>
      <w:r w:rsidRPr="00A40F64">
        <w:rPr>
          <w:lang w:val="uk-UA"/>
        </w:rPr>
        <w:t>КНП «Верховинський центр первинної медико-санітарної допомоги» та КНП «Верховинська багатопрофільна лікарня»)  в сумі 4 547,7 тис. грн, або це складає 94,9 відсотка у сумі видатків, та 94,6 відсотка до уточнених річних призначень на цю мету. Кошти в сумі 246,5 тис. грн спрямовано на виконання заходів Комплексної програми «Здоров’я населення Прикарпаття на 2021- 2025 роки»,  або це складає 5,1 відсотка у сумі видатків, та 99,3 відсотка до уточнених річних призначень на цю мету.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Відповідно до заходів Комплексної програми «Здоров’я населення Прикарпаття на 2021- 2025 роки»  у 2023 році кошти спрямовувались на:</w:t>
      </w:r>
    </w:p>
    <w:p w:rsidR="005E5AB4" w:rsidRPr="00A40F64" w:rsidRDefault="005E5AB4" w:rsidP="005E5AB4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 імунодепресивну терапію хворих з трансплантацією органів - 2,0 тис. грн ;</w:t>
      </w:r>
    </w:p>
    <w:p w:rsidR="005E5AB4" w:rsidRPr="00A40F64" w:rsidRDefault="005E5AB4" w:rsidP="005E5AB4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(для хворих з органними захворюваннями: хвороба Вільсона-Коновалова (гепатоцеребральна дистрофія) та муковісцидоз – 46,6 тис. грн;</w:t>
      </w:r>
    </w:p>
    <w:p w:rsidR="005E5AB4" w:rsidRPr="00A40F64" w:rsidRDefault="005E5AB4" w:rsidP="005E5AB4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 централізовану закупівлю продуктів лікувального харчування для дітей, хворих на фенілкетонурію – 150,3 тис. грн;</w:t>
      </w:r>
    </w:p>
    <w:p w:rsidR="005E5AB4" w:rsidRPr="00A40F64" w:rsidRDefault="005E5AB4" w:rsidP="005E5AB4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 xml:space="preserve"> придбання туберкуліну - 47,6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>За рахунок коштів спеціального фонду придбано</w:t>
      </w:r>
      <w:r w:rsidRPr="00A40F64">
        <w:t xml:space="preserve"> </w:t>
      </w:r>
      <w:r w:rsidRPr="00A40F64">
        <w:rPr>
          <w:lang w:val="uk-UA"/>
        </w:rPr>
        <w:t xml:space="preserve">лабораторне обладнання </w:t>
      </w:r>
      <w:r w:rsidRPr="00A40F64">
        <w:t xml:space="preserve"> </w:t>
      </w:r>
      <w:r w:rsidRPr="00A40F64">
        <w:rPr>
          <w:lang w:val="uk-UA"/>
        </w:rPr>
        <w:t>(</w:t>
      </w:r>
      <w:r w:rsidRPr="00A40F64">
        <w:t>мікроскопи</w:t>
      </w:r>
      <w:r w:rsidRPr="00A40F64">
        <w:rPr>
          <w:lang w:val="uk-UA"/>
        </w:rPr>
        <w:t xml:space="preserve">) вартістю 88,8 тис. грн для покращення матеріально-технічної бази для КНП «Верховинська багатопрофільна лікарня» Верховинської селищної ради. </w:t>
      </w:r>
    </w:p>
    <w:p w:rsidR="005E5AB4" w:rsidRPr="00A40F64" w:rsidRDefault="005E5AB4" w:rsidP="005E5AB4">
      <w:pPr>
        <w:jc w:val="both"/>
        <w:rPr>
          <w:lang w:val="uk-UA"/>
        </w:rPr>
      </w:pPr>
    </w:p>
    <w:p w:rsidR="005E5AB4" w:rsidRPr="00A40F64" w:rsidRDefault="005E5AB4" w:rsidP="005E5AB4">
      <w:pPr>
        <w:jc w:val="center"/>
        <w:rPr>
          <w:b/>
          <w:lang w:val="uk-UA"/>
        </w:rPr>
      </w:pPr>
    </w:p>
    <w:p w:rsidR="005E5AB4" w:rsidRPr="00A40F64" w:rsidRDefault="005E5AB4" w:rsidP="005E5AB4">
      <w:pPr>
        <w:jc w:val="center"/>
        <w:rPr>
          <w:b/>
          <w:lang w:val="uk-UA"/>
        </w:rPr>
      </w:pPr>
    </w:p>
    <w:p w:rsidR="005E5AB4" w:rsidRPr="00A40F64" w:rsidRDefault="005E5AB4" w:rsidP="005E5AB4">
      <w:pPr>
        <w:jc w:val="center"/>
        <w:rPr>
          <w:lang w:val="uk-UA"/>
        </w:rPr>
      </w:pPr>
      <w:r w:rsidRPr="00A40F64">
        <w:rPr>
          <w:b/>
          <w:lang w:val="uk-UA"/>
        </w:rPr>
        <w:t>Соціальний захист та соціальне забезпечення (3000)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A40F64">
        <w:rPr>
          <w:shd w:val="clear" w:color="auto" w:fill="FFFFFF"/>
          <w:lang w:val="uk-UA"/>
        </w:rPr>
        <w:t>Видатки по галузі «Соціальний захист та соціальне забезпечення» у 202</w:t>
      </w:r>
      <w:r w:rsidRPr="00A40F64">
        <w:rPr>
          <w:shd w:val="clear" w:color="auto" w:fill="FFFFFF"/>
        </w:rPr>
        <w:t>3</w:t>
      </w:r>
      <w:r w:rsidRPr="00A40F64">
        <w:rPr>
          <w:shd w:val="clear" w:color="auto" w:fill="FFFFFF"/>
          <w:lang w:val="uk-UA"/>
        </w:rPr>
        <w:t xml:space="preserve"> році складають 10 332,3 тис. грн, в т.ч. по загальному фонду – 6 926,7 тис. грн та по спеціальному фонду –3405,6 тис. грн.  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shd w:val="clear" w:color="auto" w:fill="FFFFFF"/>
          <w:lang w:val="uk-UA"/>
        </w:rPr>
      </w:pPr>
      <w:r w:rsidRPr="00A40F64">
        <w:rPr>
          <w:color w:val="000000" w:themeColor="text1"/>
          <w:shd w:val="clear" w:color="auto" w:fill="FFFFFF"/>
          <w:lang w:val="uk-UA"/>
        </w:rPr>
        <w:t xml:space="preserve">В порівнянні з 2022 роком фактичні видатки </w:t>
      </w:r>
      <w:r w:rsidRPr="00A40F64">
        <w:rPr>
          <w:color w:val="000000"/>
          <w:shd w:val="clear" w:color="auto" w:fill="FFFFFF"/>
          <w:lang w:val="uk-UA"/>
        </w:rPr>
        <w:t>на соціальний захист та соціальне забезпечення</w:t>
      </w:r>
      <w:r w:rsidRPr="00A40F64">
        <w:rPr>
          <w:color w:val="000000" w:themeColor="text1"/>
          <w:shd w:val="clear" w:color="auto" w:fill="FFFFFF"/>
          <w:lang w:val="uk-UA"/>
        </w:rPr>
        <w:t xml:space="preserve"> у 2023 році збільшилися: по загальному фонду на 1 570,3 тис. грн,  по спеціальному фонду - на 1 974,5 тис. грн.</w:t>
      </w:r>
      <w:r w:rsidRPr="00A40F64">
        <w:rPr>
          <w:color w:val="FF0000"/>
          <w:shd w:val="clear" w:color="auto" w:fill="FFFFFF"/>
          <w:lang w:val="uk-UA"/>
        </w:rPr>
        <w:t xml:space="preserve"> </w:t>
      </w: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b/>
          <w:color w:val="000000" w:themeColor="text1"/>
          <w:shd w:val="clear" w:color="auto" w:fill="FFFFFF"/>
          <w:lang w:val="uk-UA"/>
        </w:rPr>
      </w:pPr>
      <w:r w:rsidRPr="00A40F64">
        <w:rPr>
          <w:b/>
          <w:color w:val="000000" w:themeColor="text1"/>
          <w:shd w:val="clear" w:color="auto" w:fill="FFFFFF"/>
          <w:lang w:val="uk-UA"/>
        </w:rPr>
        <w:t xml:space="preserve">Порівняльний аналіз видатків загального та спеціального фондів </w:t>
      </w: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b/>
          <w:color w:val="000000" w:themeColor="text1"/>
          <w:shd w:val="clear" w:color="auto" w:fill="FFFFFF"/>
          <w:lang w:val="uk-UA"/>
        </w:rPr>
      </w:pPr>
      <w:r w:rsidRPr="00A40F64">
        <w:rPr>
          <w:b/>
          <w:color w:val="000000" w:themeColor="text1"/>
          <w:shd w:val="clear" w:color="auto" w:fill="FFFFFF"/>
          <w:lang w:val="uk-UA"/>
        </w:rPr>
        <w:t xml:space="preserve">за 2022 -2023 роки по галузі </w:t>
      </w: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b/>
          <w:color w:val="000000" w:themeColor="text1"/>
          <w:shd w:val="clear" w:color="auto" w:fill="FFFFFF"/>
          <w:lang w:val="uk-UA"/>
        </w:rPr>
      </w:pPr>
      <w:r w:rsidRPr="00A40F64">
        <w:rPr>
          <w:b/>
          <w:color w:val="000000" w:themeColor="text1"/>
          <w:shd w:val="clear" w:color="auto" w:fill="FFFFFF"/>
          <w:lang w:val="uk-UA"/>
        </w:rPr>
        <w:t>«Соціальний захист та соціальне забезпечення»</w:t>
      </w:r>
    </w:p>
    <w:p w:rsidR="005E5AB4" w:rsidRPr="00A40F64" w:rsidRDefault="005E5AB4" w:rsidP="005E5AB4">
      <w:pPr>
        <w:shd w:val="clear" w:color="auto" w:fill="FFFFFF"/>
        <w:ind w:firstLine="709"/>
        <w:jc w:val="center"/>
        <w:rPr>
          <w:color w:val="000000" w:themeColor="text1"/>
          <w:shd w:val="clear" w:color="auto" w:fill="FFFFFF"/>
          <w:lang w:val="uk-UA"/>
        </w:rPr>
      </w:pPr>
      <w:r w:rsidRPr="00A40F64">
        <w:rPr>
          <w:color w:val="000000" w:themeColor="text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тис. грн.</w:t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shd w:val="clear" w:color="auto" w:fill="FFFFFF"/>
          <w:lang w:val="uk-UA"/>
        </w:rPr>
      </w:pPr>
      <w:r w:rsidRPr="00A40F64">
        <w:rPr>
          <w:noProof/>
          <w:color w:val="FF0000"/>
          <w:shd w:val="clear" w:color="auto" w:fill="FFFFFF"/>
          <w:lang w:val="uk-UA" w:eastAsia="uk-UA"/>
        </w:rPr>
        <w:drawing>
          <wp:inline distT="0" distB="0" distL="0" distR="0">
            <wp:extent cx="5410200" cy="2802875"/>
            <wp:effectExtent l="0" t="0" r="0" b="0"/>
            <wp:docPr id="230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5AB4" w:rsidRPr="00A40F64" w:rsidRDefault="005E5AB4" w:rsidP="005E5AB4">
      <w:pPr>
        <w:shd w:val="clear" w:color="auto" w:fill="FFFFFF"/>
        <w:ind w:firstLine="709"/>
        <w:jc w:val="both"/>
        <w:rPr>
          <w:color w:val="FF0000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spacing w:before="101" w:line="312" w:lineRule="exact"/>
        <w:ind w:right="10" w:firstLine="709"/>
        <w:jc w:val="both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</w:p>
    <w:p w:rsidR="005E5AB4" w:rsidRPr="00A40F64" w:rsidRDefault="005E5AB4" w:rsidP="005E5AB4">
      <w:pPr>
        <w:shd w:val="clear" w:color="auto" w:fill="FFFFFF"/>
        <w:spacing w:before="101" w:line="312" w:lineRule="exact"/>
        <w:ind w:right="1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shd w:val="clear" w:color="auto" w:fill="FFFFFF"/>
          <w:lang w:val="uk-UA"/>
        </w:rPr>
        <w:t xml:space="preserve">      По </w:t>
      </w:r>
      <w:r w:rsidRPr="00A40F64">
        <w:rPr>
          <w:b/>
          <w:color w:val="000000" w:themeColor="text1"/>
          <w:shd w:val="clear" w:color="auto" w:fill="FFFFFF"/>
          <w:lang w:val="uk-UA"/>
        </w:rPr>
        <w:t>загальному фонду</w:t>
      </w:r>
      <w:r w:rsidRPr="00A40F64">
        <w:rPr>
          <w:color w:val="000000" w:themeColor="text1"/>
          <w:shd w:val="clear" w:color="auto" w:fill="FFFFFF"/>
          <w:lang w:val="uk-UA"/>
        </w:rPr>
        <w:t xml:space="preserve"> видатки </w:t>
      </w:r>
      <w:r w:rsidRPr="00A40F64">
        <w:rPr>
          <w:color w:val="000000" w:themeColor="text1"/>
          <w:lang w:val="uk-UA"/>
        </w:rPr>
        <w:t>у 2023 році складають 6 926,7 тис. грн, що становить 98,8 відсотка від уточненого плану на рік, і включають: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надання пільг з оплати послуг зв'язку, інших передбачених законодавством пільг окремим категоріям громадян – 4,0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пільгове медичне обслуговування осіб, які постраждали внаслідок Чорнобильської катастрофи, – 10,3 тис. грн</w:t>
      </w:r>
      <w:r w:rsidRPr="00A40F64">
        <w:rPr>
          <w:lang w:val="uk-UA"/>
        </w:rPr>
        <w:t xml:space="preserve">(обласні кошти) </w:t>
      </w:r>
      <w:r w:rsidRPr="00A40F64">
        <w:rPr>
          <w:color w:val="000000" w:themeColor="text1"/>
          <w:lang w:val="uk-UA"/>
        </w:rPr>
        <w:t xml:space="preserve"> 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видатки на поховання учасників бойових дій та осіб з інвалідністю внаслідок війни – 6,1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color w:val="000000" w:themeColor="text1"/>
          <w:lang w:val="uk-UA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 (соціальні послуги, надані територіальним центром соціального обслуговування</w:t>
      </w:r>
      <w:r w:rsidRPr="00A40F64">
        <w:rPr>
          <w:lang w:val="uk-UA"/>
        </w:rPr>
        <w:t>) – 3 814,9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здійснення соціальної роботи з вразливими категоріями населення (Верховинський селищний центр соціальних служб)  – 727,5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– 1 059,7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катастрофи), на оплату житлово-комунальних послуг – 63,3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видатки, пов'язані з наданням підтримки внутрішньо переміщеним та/або евакуйованим особам у зв'язку із введенням воєнного стану – 49,2 тис. грн (паливо для перевезення гуманітарних вантажів);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lastRenderedPageBreak/>
        <w:t xml:space="preserve">одноразова соціальна допомога населенню на виконання заходів  </w:t>
      </w:r>
      <w:r w:rsidRPr="00A40F64">
        <w:rPr>
          <w:lang w:val="uk-UA" w:eastAsia="uk-UA"/>
        </w:rPr>
        <w:t>Програми надання одноразової матеріальної допомоги на 2022-2025 роки</w:t>
      </w:r>
      <w:r w:rsidRPr="00A40F64">
        <w:rPr>
          <w:lang w:val="uk-UA"/>
        </w:rPr>
        <w:t xml:space="preserve"> - 199,0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виплати воїнам ОУН-УПА (обласні кошти) – 132,0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виплати населенню на виконання заходів до Програми підтримки сімей загиблих і постраждалих учасників Революції  Гідності, учасників бойових дій, їх сімей,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проти України – 590,0 тис. грн;</w:t>
      </w:r>
    </w:p>
    <w:p w:rsidR="005E5AB4" w:rsidRPr="00A40F64" w:rsidRDefault="005E5AB4" w:rsidP="005E5AB4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lang w:val="uk-UA" w:eastAsia="uk-UA"/>
        </w:rPr>
      </w:pPr>
      <w:r w:rsidRPr="00A40F64">
        <w:rPr>
          <w:lang w:val="uk-UA"/>
        </w:rPr>
        <w:t xml:space="preserve">виплати населенню на виконання заходів до </w:t>
      </w:r>
      <w:r w:rsidRPr="00A40F64">
        <w:rPr>
          <w:lang w:val="uk-UA" w:eastAsia="uk-UA"/>
        </w:rPr>
        <w:t>Комплексної програми соціального захисту населення Верховинської селищної територіальної громади на 2022-2025 роки – 230,7 тис. грн;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 xml:space="preserve">виплати населенню на виконання заходів </w:t>
      </w:r>
      <w:r w:rsidRPr="00A40F64">
        <w:rPr>
          <w:lang w:val="uk-UA" w:eastAsia="uk-UA"/>
        </w:rPr>
        <w:t>Цільової програми "Попередження дитячої бездоглядності та безпритульності серед дітей, соціального захисту і підтримки дітей-сиріт та дітей, позбавлених батьківського піклування, захисту їх житлових прав" на 2022-2025 роки – 40,0 тис. грн.</w:t>
      </w:r>
    </w:p>
    <w:p w:rsidR="005E5AB4" w:rsidRPr="00A40F64" w:rsidRDefault="005E5AB4" w:rsidP="005E5AB4">
      <w:pPr>
        <w:tabs>
          <w:tab w:val="left" w:pos="0"/>
        </w:tabs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          </w:t>
      </w:r>
    </w:p>
    <w:p w:rsidR="005E5AB4" w:rsidRPr="00A40F64" w:rsidRDefault="005E5AB4" w:rsidP="005E5AB4">
      <w:pPr>
        <w:shd w:val="clear" w:color="auto" w:fill="FFFFFF"/>
        <w:spacing w:before="101" w:line="312" w:lineRule="exact"/>
        <w:ind w:right="10" w:firstLine="709"/>
        <w:jc w:val="both"/>
        <w:rPr>
          <w:lang w:val="uk-UA"/>
        </w:rPr>
      </w:pPr>
      <w:r w:rsidRPr="00A40F64">
        <w:rPr>
          <w:lang w:val="uk-UA"/>
        </w:rPr>
        <w:t xml:space="preserve">По </w:t>
      </w:r>
      <w:r w:rsidRPr="00A40F64">
        <w:rPr>
          <w:b/>
          <w:lang w:val="uk-UA"/>
        </w:rPr>
        <w:t>спеціальному фонду</w:t>
      </w:r>
      <w:r w:rsidRPr="00A40F64">
        <w:rPr>
          <w:lang w:val="uk-UA"/>
        </w:rPr>
        <w:t xml:space="preserve"> видатки на соціальний захист та соціальне забезпечення у 2023 році складають 3 405,6 тис. грн, зокрема: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по територіальному центру соціального обслуговування (надання соціальних послуг) – 2 425,8 тис. грн (442,9 тис. грн на виплату заробітної плати з нарахуваннями працівникам стаціонарного відділення; 1 199,3 тис. грн -  отримання гуманітарної допомоги як благодійні гранти та подарунки, придбання огорожі, пандусу, дверей металевих до бомбосховища, столів, крісел, придбання засобів гігієни, мийних та дезінфікуючих засобів та канцтоварів; 591,6 тис. грн –продукти харчування, 47,7 тис. грн – медикаменти та перев’язувальні матеріали, 139,0 тис. грн – оплата комунальних послуг та робіт з встановлення пандуса та дверей металевих в бомбосховище, робіт по ремонту опалення та ремонту водопостачання, 5,2 тис. грн – отримання дров паливних як благодійної допомоги);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lang w:val="uk-UA"/>
        </w:rPr>
      </w:pPr>
      <w:r w:rsidRPr="00A40F64">
        <w:rPr>
          <w:lang w:val="uk-UA"/>
        </w:rPr>
        <w:t>по Верховинському селищному центру соціальних служб – 644,7 тис. грн (456,2 тис. грн. на виплату заробітної плати з нарахуваннями позаштатним соціальним працівникам за рахунок коштів благодійної організації «Родина і громада», 82,0 тис. грн - придбання предметів та матеріалів, 105,4 тис. грн - придбання предметів довгострокового користування (2 ноутбуки, електричний велосипед) за рахунок коштів благодійної організації «Родина і громада»;</w:t>
      </w:r>
    </w:p>
    <w:p w:rsidR="005E5AB4" w:rsidRPr="00A40F64" w:rsidRDefault="005E5AB4" w:rsidP="005E5AB4">
      <w:pPr>
        <w:numPr>
          <w:ilvl w:val="0"/>
          <w:numId w:val="8"/>
        </w:numPr>
        <w:shd w:val="clear" w:color="auto" w:fill="FFFFFF"/>
        <w:spacing w:before="101" w:line="312" w:lineRule="exact"/>
        <w:ind w:left="0" w:right="10" w:firstLine="709"/>
        <w:jc w:val="both"/>
        <w:rPr>
          <w:highlight w:val="yellow"/>
          <w:lang w:val="uk-UA"/>
        </w:rPr>
      </w:pPr>
      <w:r w:rsidRPr="00A40F64">
        <w:rPr>
          <w:lang w:val="uk-UA"/>
        </w:rPr>
        <w:t>по Верховинській селищній раді – 335,1 тис. грн на виплату заробітної плати з нарахуваннями по організації та проведенню громадських робіт за рахунок коштів центру зайнятості.</w:t>
      </w:r>
    </w:p>
    <w:p w:rsidR="005E5AB4" w:rsidRPr="00A40F64" w:rsidRDefault="005E5AB4" w:rsidP="005E5AB4">
      <w:pPr>
        <w:ind w:firstLine="709"/>
        <w:jc w:val="both"/>
        <w:rPr>
          <w:b/>
          <w:lang w:val="uk-UA"/>
        </w:rPr>
      </w:pPr>
    </w:p>
    <w:p w:rsidR="005E5AB4" w:rsidRPr="00A40F64" w:rsidRDefault="005E5AB4" w:rsidP="005E5AB4">
      <w:pPr>
        <w:shd w:val="clear" w:color="auto" w:fill="FFFFFF"/>
        <w:jc w:val="center"/>
        <w:rPr>
          <w:b/>
          <w:lang w:val="uk-UA"/>
        </w:rPr>
      </w:pPr>
      <w:r w:rsidRPr="00A40F64">
        <w:rPr>
          <w:b/>
        </w:rPr>
        <w:t>Культура</w:t>
      </w:r>
      <w:r w:rsidRPr="00A40F64">
        <w:rPr>
          <w:b/>
          <w:lang w:val="uk-UA"/>
        </w:rPr>
        <w:t xml:space="preserve"> і мистецтво (4000)</w:t>
      </w:r>
    </w:p>
    <w:p w:rsidR="005E5AB4" w:rsidRPr="00A40F64" w:rsidRDefault="005E5AB4" w:rsidP="005E5AB4">
      <w:pPr>
        <w:shd w:val="clear" w:color="auto" w:fill="FFFFFF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both"/>
        <w:rPr>
          <w:lang w:val="uk-UA"/>
        </w:rPr>
      </w:pPr>
      <w:r w:rsidRPr="00A40F64">
        <w:rPr>
          <w:lang w:val="uk-UA"/>
        </w:rPr>
        <w:t xml:space="preserve">По галузі «Культура і мистецтво» видатки за 2023 рік  склали в сумі 5 604,4    тис. грн, з них: за загальним фондом – 5 599,6 тис. грн та спеціальним фондом -  4,8 тис. грн. </w:t>
      </w:r>
    </w:p>
    <w:p w:rsidR="005E5AB4" w:rsidRPr="00A40F64" w:rsidRDefault="005E5AB4" w:rsidP="005E5AB4">
      <w:pPr>
        <w:ind w:firstLine="567"/>
        <w:jc w:val="both"/>
        <w:rPr>
          <w:b/>
          <w:lang w:val="uk-UA"/>
        </w:rPr>
      </w:pPr>
      <w:r w:rsidRPr="00A40F64">
        <w:rPr>
          <w:lang w:val="uk-UA"/>
        </w:rPr>
        <w:t xml:space="preserve">У порівнянні з 2022 роком, видатки на галузь зменшились за загальним фондом на 39,3 тис. грн, або на 0,7 відсотка, а за спеціальним фондом на 3,6 тис. грн, або на 42,9 відсотка. </w:t>
      </w: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</w:p>
    <w:p w:rsidR="005E5AB4" w:rsidRPr="00A40F64" w:rsidRDefault="005E5AB4" w:rsidP="005E5AB4">
      <w:pPr>
        <w:ind w:firstLine="567"/>
        <w:jc w:val="center"/>
        <w:rPr>
          <w:b/>
          <w:lang w:val="uk-UA"/>
        </w:rPr>
      </w:pPr>
      <w:r w:rsidRPr="00A40F64">
        <w:rPr>
          <w:b/>
          <w:lang w:val="uk-UA"/>
        </w:rPr>
        <w:t xml:space="preserve">Порівняльний обсяг фінансування на галузь «Культура і мистецтво» по загальному і спеціальному фондах за 2022-2023 роки                                                                                                                                       </w:t>
      </w:r>
    </w:p>
    <w:p w:rsidR="005E5AB4" w:rsidRPr="00A40F64" w:rsidRDefault="005E5AB4" w:rsidP="005E5AB4">
      <w:pPr>
        <w:ind w:firstLine="567"/>
        <w:jc w:val="both"/>
        <w:rPr>
          <w:lang w:val="uk-UA"/>
        </w:rPr>
      </w:pPr>
      <w:r w:rsidRPr="00A40F64">
        <w:rPr>
          <w:b/>
          <w:lang w:val="uk-UA"/>
        </w:rPr>
        <w:t xml:space="preserve">                                                                                                                                     </w:t>
      </w:r>
      <w:r w:rsidRPr="00A40F64">
        <w:rPr>
          <w:lang w:val="uk-UA"/>
        </w:rPr>
        <w:t>тис. грн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noProof/>
          <w:lang w:val="uk-UA" w:eastAsia="uk-UA"/>
        </w:rPr>
        <w:drawing>
          <wp:inline distT="0" distB="0" distL="0" distR="0">
            <wp:extent cx="5240849" cy="2552700"/>
            <wp:effectExtent l="0" t="0" r="0" b="0"/>
            <wp:docPr id="231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524BD2" w:rsidRDefault="005E5AB4" w:rsidP="005E5AB4">
      <w:pPr>
        <w:pStyle w:val="a7"/>
        <w:numPr>
          <w:ilvl w:val="0"/>
          <w:numId w:val="38"/>
        </w:numPr>
        <w:ind w:left="0" w:firstLine="0"/>
        <w:jc w:val="both"/>
        <w:rPr>
          <w:lang w:val="uk-UA"/>
        </w:rPr>
      </w:pPr>
      <w:r w:rsidRPr="00524BD2">
        <w:rPr>
          <w:lang w:val="uk-UA"/>
        </w:rPr>
        <w:t>Фінансова підтримка ф</w:t>
      </w:r>
      <w:r w:rsidRPr="00A40F64">
        <w:t>i</w:t>
      </w:r>
      <w:r w:rsidRPr="00524BD2">
        <w:rPr>
          <w:lang w:val="uk-UA"/>
        </w:rPr>
        <w:t>лармон</w:t>
      </w:r>
      <w:r w:rsidRPr="00A40F64">
        <w:t>i</w:t>
      </w:r>
      <w:r w:rsidRPr="00524BD2">
        <w:rPr>
          <w:lang w:val="uk-UA"/>
        </w:rPr>
        <w:t>й, художніх і музичних колективів, ансамблів, концертних та циркових організацій – 50,7 тис. грн;</w:t>
      </w:r>
    </w:p>
    <w:p w:rsidR="005E5AB4" w:rsidRPr="00A40F64" w:rsidRDefault="005E5AB4" w:rsidP="005E5AB4">
      <w:pPr>
        <w:numPr>
          <w:ilvl w:val="0"/>
          <w:numId w:val="22"/>
        </w:numPr>
        <w:ind w:left="0" w:firstLine="0"/>
        <w:jc w:val="both"/>
        <w:rPr>
          <w:lang w:val="uk-UA"/>
        </w:rPr>
      </w:pPr>
      <w:r w:rsidRPr="00A40F64">
        <w:rPr>
          <w:lang w:val="uk-UA"/>
        </w:rPr>
        <w:t>Забезпечення діяльності бібліотек – 1 515,3 тис. грн;</w:t>
      </w:r>
    </w:p>
    <w:p w:rsidR="005E5AB4" w:rsidRPr="00A40F64" w:rsidRDefault="005E5AB4" w:rsidP="005E5AB4">
      <w:pPr>
        <w:numPr>
          <w:ilvl w:val="0"/>
          <w:numId w:val="22"/>
        </w:numPr>
        <w:ind w:left="0" w:firstLine="0"/>
        <w:jc w:val="both"/>
        <w:rPr>
          <w:lang w:val="uk-UA"/>
        </w:rPr>
      </w:pPr>
      <w:r w:rsidRPr="00A40F64">
        <w:rPr>
          <w:lang w:val="uk-UA"/>
        </w:rPr>
        <w:t>Забезпечення діяльності музеїв i виставок – 199,5 тис. грн;</w:t>
      </w:r>
    </w:p>
    <w:p w:rsidR="005E5AB4" w:rsidRPr="00A40F64" w:rsidRDefault="005E5AB4" w:rsidP="005E5AB4">
      <w:pPr>
        <w:numPr>
          <w:ilvl w:val="0"/>
          <w:numId w:val="22"/>
        </w:numPr>
        <w:ind w:left="0" w:firstLine="0"/>
        <w:jc w:val="both"/>
        <w:rPr>
          <w:lang w:val="uk-UA" w:eastAsia="uk-UA"/>
        </w:rPr>
      </w:pPr>
      <w:r w:rsidRPr="00A40F64">
        <w:rPr>
          <w:lang w:val="uk-UA" w:eastAsia="uk-UA"/>
        </w:rPr>
        <w:t>Забезпечення діяльності палаців i будинків культури, клубів, центрів дозвілля та iнших клубних закладів – 3 315,0 тис. грн;</w:t>
      </w:r>
    </w:p>
    <w:p w:rsidR="005E5AB4" w:rsidRPr="00A40F64" w:rsidRDefault="005E5AB4" w:rsidP="005E5AB4">
      <w:pPr>
        <w:numPr>
          <w:ilvl w:val="0"/>
          <w:numId w:val="22"/>
        </w:numPr>
        <w:ind w:left="0" w:firstLine="0"/>
        <w:jc w:val="both"/>
        <w:rPr>
          <w:highlight w:val="yellow"/>
          <w:lang w:val="uk-UA"/>
        </w:rPr>
      </w:pPr>
      <w:r w:rsidRPr="00A40F64">
        <w:rPr>
          <w:highlight w:val="yellow"/>
          <w:lang w:val="uk-UA"/>
        </w:rPr>
        <w:t>Інші заклади культури ( бухгалтерська служба) - 520,0 тис. грн.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426"/>
        <w:jc w:val="both"/>
        <w:rPr>
          <w:lang w:val="uk-UA"/>
        </w:rPr>
      </w:pPr>
      <w:r w:rsidRPr="00A40F64">
        <w:rPr>
          <w:lang w:val="uk-UA"/>
        </w:rPr>
        <w:t>По структурі видатків у 2023 році по галузі  із загального фонду виділено кошти на: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/>
        </w:rPr>
      </w:pPr>
      <w:r w:rsidRPr="00A40F64">
        <w:rPr>
          <w:lang w:val="uk-UA"/>
        </w:rPr>
        <w:t>з</w:t>
      </w:r>
      <w:r w:rsidRPr="00A40F64">
        <w:t>аробітн</w:t>
      </w:r>
      <w:r w:rsidRPr="00A40F64">
        <w:rPr>
          <w:lang w:val="uk-UA"/>
        </w:rPr>
        <w:t>у</w:t>
      </w:r>
      <w:r w:rsidRPr="00A40F64">
        <w:t xml:space="preserve"> плату з нарахуваннями </w:t>
      </w:r>
      <w:r w:rsidRPr="00A40F64">
        <w:rPr>
          <w:lang w:val="uk-UA"/>
        </w:rPr>
        <w:t>– 5 028,1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/>
        </w:rPr>
      </w:pPr>
      <w:r w:rsidRPr="00A40F64">
        <w:rPr>
          <w:lang w:val="uk-UA"/>
        </w:rPr>
        <w:t>оплату е</w:t>
      </w:r>
      <w:r w:rsidRPr="00A40F64">
        <w:t>нергоносії</w:t>
      </w:r>
      <w:r w:rsidRPr="00A40F64">
        <w:rPr>
          <w:lang w:val="uk-UA"/>
        </w:rPr>
        <w:t>в</w:t>
      </w:r>
      <w:r w:rsidRPr="00A40F64">
        <w:t xml:space="preserve">  </w:t>
      </w:r>
      <w:r w:rsidRPr="00A40F64">
        <w:rPr>
          <w:lang w:val="uk-UA"/>
        </w:rPr>
        <w:t>- 230,8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 w:eastAsia="uk-UA"/>
        </w:rPr>
      </w:pPr>
      <w:r w:rsidRPr="00A40F64">
        <w:rPr>
          <w:lang w:val="uk-UA" w:eastAsia="uk-UA"/>
        </w:rPr>
        <w:t>закупівлю предметів, матеріалів, обладнання та інвентарю – 244,4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 w:eastAsia="uk-UA"/>
        </w:rPr>
      </w:pPr>
      <w:r w:rsidRPr="00A40F64">
        <w:rPr>
          <w:lang w:val="uk-UA"/>
        </w:rPr>
        <w:t>о</w:t>
      </w:r>
      <w:r w:rsidRPr="00A40F64">
        <w:t>плату послуг (крім комунальних)</w:t>
      </w:r>
      <w:r w:rsidRPr="00A40F64">
        <w:rPr>
          <w:lang w:val="uk-UA"/>
        </w:rPr>
        <w:t xml:space="preserve"> – 96,3 тис. грн.</w:t>
      </w:r>
    </w:p>
    <w:p w:rsidR="005E5AB4" w:rsidRPr="00A40F64" w:rsidRDefault="005E5AB4" w:rsidP="005E5AB4">
      <w:pPr>
        <w:ind w:firstLine="709"/>
        <w:jc w:val="both"/>
        <w:rPr>
          <w:lang w:val="uk-UA" w:eastAsia="uk-UA"/>
        </w:rPr>
      </w:pPr>
    </w:p>
    <w:p w:rsidR="005E5AB4" w:rsidRPr="00A40F64" w:rsidRDefault="005E5AB4" w:rsidP="005E5AB4">
      <w:pPr>
        <w:spacing w:line="276" w:lineRule="auto"/>
        <w:ind w:firstLine="709"/>
        <w:jc w:val="both"/>
        <w:rPr>
          <w:lang w:val="uk-UA"/>
        </w:rPr>
      </w:pPr>
      <w:r w:rsidRPr="00A40F64">
        <w:rPr>
          <w:lang w:val="uk-UA"/>
        </w:rPr>
        <w:t>По спеціальному фонду у 2023 році використано 4,8 тис. грн для придбання антисептичних засобів для установ відділу культури.</w:t>
      </w:r>
    </w:p>
    <w:p w:rsidR="005E5AB4" w:rsidRPr="00A40F64" w:rsidRDefault="005E5AB4" w:rsidP="005E5AB4">
      <w:pPr>
        <w:spacing w:line="276" w:lineRule="auto"/>
        <w:ind w:firstLine="709"/>
        <w:jc w:val="both"/>
        <w:rPr>
          <w:lang w:val="uk-UA"/>
        </w:rPr>
      </w:pPr>
      <w:r w:rsidRPr="00A40F64">
        <w:rPr>
          <w:lang w:val="uk-UA" w:eastAsia="uk-UA"/>
        </w:rPr>
        <w:t xml:space="preserve">За кошти </w:t>
      </w:r>
      <w:r w:rsidRPr="00A40F64">
        <w:rPr>
          <w:b/>
          <w:lang w:val="uk-UA" w:eastAsia="uk-UA"/>
        </w:rPr>
        <w:t>обласного бюджету</w:t>
      </w:r>
      <w:r w:rsidRPr="00A40F64">
        <w:rPr>
          <w:lang w:val="uk-UA" w:eastAsia="uk-UA"/>
        </w:rPr>
        <w:t xml:space="preserve"> у 2023 році з</w:t>
      </w:r>
      <w:r w:rsidRPr="00A40F64">
        <w:rPr>
          <w:lang w:val="uk-UA"/>
        </w:rPr>
        <w:t>дійснено придбання будівельних матеріалів для поточного ремонту фасаду приміщення будинку культури села Верхній Ясенів</w:t>
      </w:r>
      <w:r w:rsidRPr="00A40F64">
        <w:rPr>
          <w:lang w:val="uk-UA" w:eastAsia="uk-UA"/>
        </w:rPr>
        <w:t xml:space="preserve"> на суму 40,0 тис. грн,</w:t>
      </w:r>
      <w:r w:rsidRPr="00A40F64">
        <w:rPr>
          <w:lang w:val="uk-UA"/>
        </w:rPr>
        <w:t xml:space="preserve"> п</w:t>
      </w:r>
      <w:r w:rsidRPr="00A40F64">
        <w:rPr>
          <w:lang w:val="uk-UA" w:eastAsia="uk-UA"/>
        </w:rPr>
        <w:t>ридбано та встановлено енергозберігаючі вікна для приміщення організаційно-методичного центру відділу культури на суму 25,0 тис. грн,</w:t>
      </w:r>
      <w:r w:rsidRPr="00A40F64">
        <w:rPr>
          <w:lang w:val="uk-UA"/>
        </w:rPr>
        <w:t xml:space="preserve"> </w:t>
      </w:r>
      <w:r w:rsidRPr="00A40F64">
        <w:rPr>
          <w:lang w:val="uk-UA" w:eastAsia="uk-UA"/>
        </w:rPr>
        <w:t>придбано матеріали для ремонтних робіт клубу с. Віпче на суму 60,0 тис. грн.</w:t>
      </w:r>
    </w:p>
    <w:p w:rsidR="005E5AB4" w:rsidRPr="00A40F64" w:rsidRDefault="005E5AB4" w:rsidP="005E5AB4">
      <w:pPr>
        <w:shd w:val="clear" w:color="auto" w:fill="FFFFFF"/>
        <w:tabs>
          <w:tab w:val="left" w:pos="1272"/>
        </w:tabs>
        <w:spacing w:line="446" w:lineRule="exact"/>
        <w:ind w:firstLine="709"/>
        <w:jc w:val="center"/>
        <w:rPr>
          <w:b/>
          <w:bCs/>
          <w:spacing w:val="-4"/>
          <w:lang w:val="uk-UA"/>
        </w:rPr>
      </w:pPr>
    </w:p>
    <w:p w:rsidR="005E5AB4" w:rsidRPr="00A40F64" w:rsidRDefault="005E5AB4" w:rsidP="005E5AB4">
      <w:pPr>
        <w:shd w:val="clear" w:color="auto" w:fill="FFFFFF"/>
        <w:tabs>
          <w:tab w:val="left" w:pos="1272"/>
        </w:tabs>
        <w:spacing w:line="446" w:lineRule="exact"/>
        <w:ind w:firstLine="709"/>
        <w:jc w:val="center"/>
        <w:rPr>
          <w:b/>
          <w:bCs/>
          <w:spacing w:val="-4"/>
          <w:lang w:val="uk-UA"/>
        </w:rPr>
      </w:pPr>
    </w:p>
    <w:p w:rsidR="005E5AB4" w:rsidRPr="00A40F64" w:rsidRDefault="005E5AB4" w:rsidP="005E5AB4">
      <w:pPr>
        <w:shd w:val="clear" w:color="auto" w:fill="FFFFFF"/>
        <w:tabs>
          <w:tab w:val="left" w:pos="1272"/>
        </w:tabs>
        <w:spacing w:line="446" w:lineRule="exact"/>
        <w:ind w:firstLine="709"/>
        <w:jc w:val="center"/>
        <w:rPr>
          <w:b/>
          <w:bCs/>
          <w:spacing w:val="-4"/>
          <w:lang w:val="uk-UA"/>
        </w:rPr>
      </w:pPr>
    </w:p>
    <w:p w:rsidR="005E5AB4" w:rsidRPr="00A40F64" w:rsidRDefault="005E5AB4" w:rsidP="005E5AB4">
      <w:pPr>
        <w:shd w:val="clear" w:color="auto" w:fill="FFFFFF"/>
        <w:tabs>
          <w:tab w:val="left" w:pos="1272"/>
        </w:tabs>
        <w:spacing w:line="446" w:lineRule="exact"/>
        <w:ind w:firstLine="709"/>
        <w:jc w:val="center"/>
        <w:rPr>
          <w:b/>
          <w:bCs/>
          <w:spacing w:val="-4"/>
          <w:lang w:val="uk-UA"/>
        </w:rPr>
      </w:pPr>
      <w:r w:rsidRPr="00A40F64">
        <w:rPr>
          <w:b/>
          <w:bCs/>
          <w:spacing w:val="-4"/>
        </w:rPr>
        <w:t>Фізична культура і спорт</w:t>
      </w:r>
      <w:r w:rsidRPr="00A40F64">
        <w:rPr>
          <w:b/>
          <w:bCs/>
          <w:spacing w:val="-4"/>
          <w:lang w:val="uk-UA"/>
        </w:rPr>
        <w:t xml:space="preserve"> (5000)</w:t>
      </w:r>
    </w:p>
    <w:p w:rsidR="005E5AB4" w:rsidRPr="00A40F64" w:rsidRDefault="005E5AB4" w:rsidP="005E5AB4">
      <w:pPr>
        <w:shd w:val="clear" w:color="auto" w:fill="FFFFFF"/>
        <w:tabs>
          <w:tab w:val="left" w:pos="1272"/>
        </w:tabs>
        <w:spacing w:line="446" w:lineRule="exact"/>
        <w:ind w:firstLine="709"/>
        <w:jc w:val="center"/>
        <w:rPr>
          <w:b/>
          <w:bCs/>
          <w:spacing w:val="-4"/>
          <w:lang w:val="uk-UA"/>
        </w:rPr>
      </w:pPr>
    </w:p>
    <w:p w:rsidR="005E5AB4" w:rsidRPr="00A40F64" w:rsidRDefault="005E5AB4" w:rsidP="005E5AB4">
      <w:pPr>
        <w:shd w:val="clear" w:color="auto" w:fill="FFFFFF"/>
        <w:spacing w:line="276" w:lineRule="auto"/>
        <w:ind w:firstLine="709"/>
        <w:jc w:val="both"/>
        <w:rPr>
          <w:bCs/>
          <w:spacing w:val="-4"/>
          <w:lang w:val="uk-UA"/>
        </w:rPr>
      </w:pPr>
      <w:r w:rsidRPr="00A40F64">
        <w:rPr>
          <w:spacing w:val="-4"/>
        </w:rPr>
        <w:lastRenderedPageBreak/>
        <w:t xml:space="preserve">Видатки на фізичну культуру </w:t>
      </w:r>
      <w:r w:rsidRPr="00A40F64">
        <w:rPr>
          <w:spacing w:val="-4"/>
          <w:lang w:val="uk-UA"/>
        </w:rPr>
        <w:t>і</w:t>
      </w:r>
      <w:r w:rsidRPr="00A40F64">
        <w:rPr>
          <w:spacing w:val="-4"/>
        </w:rPr>
        <w:t xml:space="preserve"> спорт </w:t>
      </w:r>
      <w:r w:rsidRPr="00A40F64">
        <w:rPr>
          <w:spacing w:val="-4"/>
          <w:lang w:val="uk-UA"/>
        </w:rPr>
        <w:t>у</w:t>
      </w:r>
      <w:r w:rsidRPr="00A40F64">
        <w:rPr>
          <w:spacing w:val="1"/>
        </w:rPr>
        <w:t xml:space="preserve"> 202</w:t>
      </w:r>
      <w:r w:rsidRPr="00A40F64">
        <w:rPr>
          <w:spacing w:val="1"/>
          <w:lang w:val="uk-UA"/>
        </w:rPr>
        <w:t>3</w:t>
      </w:r>
      <w:r w:rsidRPr="00A40F64">
        <w:rPr>
          <w:spacing w:val="1"/>
        </w:rPr>
        <w:t xml:space="preserve"> році </w:t>
      </w:r>
      <w:r w:rsidRPr="00A40F64">
        <w:rPr>
          <w:spacing w:val="1"/>
          <w:lang w:val="uk-UA"/>
        </w:rPr>
        <w:t xml:space="preserve">склали в сумі </w:t>
      </w:r>
      <w:r w:rsidRPr="00A40F64">
        <w:rPr>
          <w:spacing w:val="1"/>
        </w:rPr>
        <w:t>1 </w:t>
      </w:r>
      <w:r w:rsidRPr="00A40F64">
        <w:rPr>
          <w:spacing w:val="1"/>
          <w:lang w:val="uk-UA"/>
        </w:rPr>
        <w:t>826,7</w:t>
      </w:r>
      <w:r w:rsidRPr="00A40F64">
        <w:rPr>
          <w:spacing w:val="1"/>
        </w:rPr>
        <w:t xml:space="preserve"> </w:t>
      </w:r>
      <w:r w:rsidRPr="00A40F64">
        <w:rPr>
          <w:spacing w:val="2"/>
        </w:rPr>
        <w:t>тис</w:t>
      </w:r>
      <w:proofErr w:type="gramStart"/>
      <w:r w:rsidRPr="00A40F64">
        <w:rPr>
          <w:spacing w:val="2"/>
        </w:rPr>
        <w:t>.</w:t>
      </w:r>
      <w:proofErr w:type="gramEnd"/>
      <w:r w:rsidRPr="00A40F64">
        <w:rPr>
          <w:spacing w:val="2"/>
        </w:rPr>
        <w:t xml:space="preserve"> </w:t>
      </w:r>
      <w:proofErr w:type="gramStart"/>
      <w:r w:rsidRPr="00A40F64">
        <w:rPr>
          <w:spacing w:val="2"/>
        </w:rPr>
        <w:t>г</w:t>
      </w:r>
      <w:proofErr w:type="gramEnd"/>
      <w:r w:rsidRPr="00A40F64">
        <w:rPr>
          <w:spacing w:val="2"/>
        </w:rPr>
        <w:t xml:space="preserve">рн, </w:t>
      </w:r>
      <w:r w:rsidRPr="00A40F64">
        <w:t>з них:  по загальному фонду – 1 </w:t>
      </w:r>
      <w:r w:rsidRPr="00A40F64">
        <w:rPr>
          <w:lang w:val="uk-UA"/>
        </w:rPr>
        <w:t>742,0</w:t>
      </w:r>
      <w:r w:rsidRPr="00A40F64">
        <w:t xml:space="preserve"> тис. грн та спеціальному фонду – </w:t>
      </w:r>
      <w:r w:rsidRPr="00A40F64">
        <w:rPr>
          <w:lang w:val="uk-UA"/>
        </w:rPr>
        <w:t>84,7</w:t>
      </w:r>
      <w:r w:rsidRPr="00A40F64">
        <w:t xml:space="preserve"> тис. грн.</w:t>
      </w:r>
      <w:r w:rsidRPr="00A40F64">
        <w:rPr>
          <w:spacing w:val="2"/>
        </w:rPr>
        <w:t xml:space="preserve"> </w:t>
      </w:r>
      <w:r w:rsidRPr="00A40F64">
        <w:rPr>
          <w:spacing w:val="2"/>
          <w:lang w:val="uk-UA"/>
        </w:rPr>
        <w:t>У порівнянні з  2022 роком видатки збільшились на 118,8 тис. грн, або на 7 відсотків.</w:t>
      </w: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 xml:space="preserve">          Із загальної суми видатків спрямовано на утримання  дитячої - юнацької спортивної школи в сумі 1 728,6 тис. грн, з яких: 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/>
        </w:rPr>
      </w:pPr>
      <w:r w:rsidRPr="00A40F64">
        <w:rPr>
          <w:spacing w:val="-4"/>
          <w:lang w:val="uk-UA"/>
        </w:rPr>
        <w:t xml:space="preserve"> </w:t>
      </w:r>
      <w:r w:rsidRPr="00A40F64">
        <w:rPr>
          <w:lang w:val="uk-UA"/>
        </w:rPr>
        <w:t>з</w:t>
      </w:r>
      <w:r w:rsidRPr="00A40F64">
        <w:t>аробітн</w:t>
      </w:r>
      <w:r w:rsidRPr="00A40F64">
        <w:rPr>
          <w:lang w:val="uk-UA"/>
        </w:rPr>
        <w:t>а</w:t>
      </w:r>
      <w:r w:rsidRPr="00A40F64">
        <w:t xml:space="preserve"> плат</w:t>
      </w:r>
      <w:r w:rsidRPr="00A40F64">
        <w:rPr>
          <w:lang w:val="uk-UA"/>
        </w:rPr>
        <w:t>а</w:t>
      </w:r>
      <w:r w:rsidRPr="00A40F64">
        <w:t xml:space="preserve"> з нарахуваннями </w:t>
      </w:r>
      <w:r w:rsidRPr="00A40F64">
        <w:rPr>
          <w:lang w:val="uk-UA"/>
        </w:rPr>
        <w:t>– 1696,1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/>
        </w:rPr>
      </w:pPr>
      <w:r w:rsidRPr="00A40F64">
        <w:rPr>
          <w:lang w:val="uk-UA"/>
        </w:rPr>
        <w:t>оплата е</w:t>
      </w:r>
      <w:r w:rsidRPr="00A40F64">
        <w:t>нергоносії</w:t>
      </w:r>
      <w:r w:rsidRPr="00A40F64">
        <w:rPr>
          <w:lang w:val="uk-UA"/>
        </w:rPr>
        <w:t>в</w:t>
      </w:r>
      <w:r w:rsidRPr="00A40F64">
        <w:t xml:space="preserve">  </w:t>
      </w:r>
      <w:r w:rsidRPr="00A40F64">
        <w:rPr>
          <w:lang w:val="uk-UA"/>
        </w:rPr>
        <w:t>- 6,8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 w:eastAsia="uk-UA"/>
        </w:rPr>
      </w:pPr>
      <w:r w:rsidRPr="00A40F64">
        <w:rPr>
          <w:lang w:val="uk-UA" w:eastAsia="uk-UA"/>
        </w:rPr>
        <w:t xml:space="preserve">закупівля </w:t>
      </w:r>
      <w:r w:rsidRPr="00A40F64">
        <w:rPr>
          <w:shd w:val="clear" w:color="auto" w:fill="FFFFFF"/>
        </w:rPr>
        <w:t>кубк</w:t>
      </w:r>
      <w:r w:rsidRPr="00A40F64">
        <w:rPr>
          <w:shd w:val="clear" w:color="auto" w:fill="FFFFFF"/>
          <w:lang w:val="uk-UA"/>
        </w:rPr>
        <w:t>ів</w:t>
      </w:r>
      <w:r w:rsidRPr="00A40F64">
        <w:rPr>
          <w:shd w:val="clear" w:color="auto" w:fill="FFFFFF"/>
        </w:rPr>
        <w:t>, грамот,  медал</w:t>
      </w:r>
      <w:r w:rsidRPr="00A40F64">
        <w:rPr>
          <w:shd w:val="clear" w:color="auto" w:fill="FFFFFF"/>
          <w:lang w:val="uk-UA"/>
        </w:rPr>
        <w:t xml:space="preserve">ей, </w:t>
      </w:r>
      <w:r w:rsidRPr="00A40F64">
        <w:rPr>
          <w:lang w:val="uk-UA" w:eastAsia="uk-UA"/>
        </w:rPr>
        <w:t>предметів, обладнання та спортивного інвентарю – 16,0 тис. 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 w:eastAsia="uk-UA"/>
        </w:rPr>
      </w:pPr>
      <w:r w:rsidRPr="00A40F64">
        <w:rPr>
          <w:lang w:val="uk-UA" w:eastAsia="uk-UA"/>
        </w:rPr>
        <w:t>медикаменти та перев`</w:t>
      </w:r>
      <w:r w:rsidRPr="00A40F64">
        <w:rPr>
          <w:lang w:eastAsia="uk-UA"/>
        </w:rPr>
        <w:t>язувальні матеріали</w:t>
      </w:r>
      <w:r w:rsidRPr="00A40F64">
        <w:rPr>
          <w:lang w:val="uk-UA" w:eastAsia="uk-UA"/>
        </w:rPr>
        <w:t xml:space="preserve"> </w:t>
      </w:r>
      <w:r w:rsidRPr="00A40F64">
        <w:rPr>
          <w:lang w:eastAsia="uk-UA"/>
        </w:rPr>
        <w:t>- 2,0 тис.</w:t>
      </w:r>
      <w:r w:rsidRPr="00A40F64">
        <w:rPr>
          <w:lang w:val="uk-UA" w:eastAsia="uk-UA"/>
        </w:rPr>
        <w:t xml:space="preserve"> </w:t>
      </w:r>
      <w:r w:rsidRPr="00A40F64">
        <w:rPr>
          <w:lang w:eastAsia="uk-UA"/>
        </w:rPr>
        <w:t>грн;</w:t>
      </w:r>
    </w:p>
    <w:p w:rsidR="005E5AB4" w:rsidRPr="00A40F64" w:rsidRDefault="005E5AB4" w:rsidP="005E5AB4">
      <w:pPr>
        <w:numPr>
          <w:ilvl w:val="0"/>
          <w:numId w:val="23"/>
        </w:numPr>
        <w:ind w:left="0" w:firstLine="426"/>
        <w:jc w:val="both"/>
        <w:rPr>
          <w:lang w:val="uk-UA" w:eastAsia="uk-UA"/>
        </w:rPr>
      </w:pPr>
      <w:r w:rsidRPr="00A40F64">
        <w:rPr>
          <w:lang w:val="uk-UA"/>
        </w:rPr>
        <w:t>видатки на відрядження – 7,7 тис. грн.</w:t>
      </w:r>
    </w:p>
    <w:p w:rsidR="005E5AB4" w:rsidRPr="00A40F64" w:rsidRDefault="005E5AB4" w:rsidP="005E5AB4">
      <w:pPr>
        <w:ind w:left="426"/>
        <w:jc w:val="both"/>
        <w:rPr>
          <w:lang w:val="uk-UA" w:eastAsia="uk-UA"/>
        </w:rPr>
      </w:pP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 xml:space="preserve">     У дитячій - юнацькій спортивній школі  навчається 360 вихованців та утримується 11,75 штатних одиниць (в т.ч. 8,5 ставок тренерів).  Діють наступні секції:</w:t>
      </w: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 xml:space="preserve">          - футбол;</w:t>
      </w: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ab/>
        <w:t>- вільна боротьба;</w:t>
      </w: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ab/>
        <w:t>- рукопаш гопак;</w:t>
      </w:r>
    </w:p>
    <w:p w:rsidR="005E5AB4" w:rsidRPr="00A40F64" w:rsidRDefault="005E5AB4" w:rsidP="005E5AB4">
      <w:pPr>
        <w:spacing w:line="276" w:lineRule="auto"/>
        <w:jc w:val="both"/>
        <w:rPr>
          <w:spacing w:val="-4"/>
          <w:lang w:val="uk-UA"/>
        </w:rPr>
      </w:pPr>
      <w:r w:rsidRPr="00A40F64">
        <w:rPr>
          <w:spacing w:val="-4"/>
          <w:lang w:val="uk-UA"/>
        </w:rPr>
        <w:tab/>
        <w:t>- шахи.</w:t>
      </w:r>
    </w:p>
    <w:p w:rsidR="005E5AB4" w:rsidRPr="00A40F64" w:rsidRDefault="005E5AB4" w:rsidP="005E5AB4">
      <w:pPr>
        <w:ind w:firstLine="709"/>
        <w:jc w:val="both"/>
        <w:rPr>
          <w:spacing w:val="-4"/>
          <w:lang w:val="uk-UA"/>
        </w:rPr>
      </w:pPr>
      <w:r w:rsidRPr="00A40F64">
        <w:rPr>
          <w:bCs/>
          <w:iCs/>
          <w:spacing w:val="-4"/>
          <w:lang w:val="uk-UA"/>
        </w:rPr>
        <w:t xml:space="preserve"> На виконання заходів  п</w:t>
      </w:r>
      <w:r w:rsidRPr="00A40F64">
        <w:rPr>
          <w:color w:val="000000"/>
          <w:lang w:val="uk-UA" w:eastAsia="uk-UA"/>
        </w:rPr>
        <w:t xml:space="preserve">рограми "Проведення навчально-тренувальних зборiв i змагань з олімпійських видів спорту" в 2023 році спрямовано 13,5 тис. грн. на оплату відряджень і придбання пального для організації участі в спортивних змаганнях в межах України. </w:t>
      </w:r>
    </w:p>
    <w:p w:rsidR="005E5AB4" w:rsidRPr="00A40F64" w:rsidRDefault="005E5AB4" w:rsidP="005E5AB4">
      <w:pPr>
        <w:ind w:left="567"/>
        <w:jc w:val="center"/>
        <w:rPr>
          <w:b/>
          <w:color w:val="FF0000"/>
          <w:lang w:val="uk-UA"/>
        </w:rPr>
      </w:pPr>
    </w:p>
    <w:p w:rsidR="005E5AB4" w:rsidRPr="00A40F64" w:rsidRDefault="005E5AB4" w:rsidP="005E5AB4">
      <w:pPr>
        <w:ind w:left="567"/>
        <w:jc w:val="center"/>
        <w:rPr>
          <w:b/>
          <w:lang w:val="uk-UA"/>
        </w:rPr>
      </w:pPr>
      <w:r w:rsidRPr="00A40F64">
        <w:rPr>
          <w:b/>
          <w:lang w:val="uk-UA"/>
        </w:rPr>
        <w:t xml:space="preserve">Структура напрямків асигнувань </w:t>
      </w:r>
      <w:r w:rsidRPr="00A40F64">
        <w:rPr>
          <w:b/>
          <w:spacing w:val="-4"/>
          <w:lang w:val="uk-UA"/>
        </w:rPr>
        <w:t>по</w:t>
      </w:r>
      <w:r w:rsidRPr="00A40F64">
        <w:rPr>
          <w:b/>
          <w:spacing w:val="-4"/>
        </w:rPr>
        <w:t xml:space="preserve"> </w:t>
      </w:r>
      <w:r w:rsidRPr="00A40F64">
        <w:rPr>
          <w:b/>
          <w:lang w:val="uk-UA"/>
        </w:rPr>
        <w:t>галузі</w:t>
      </w:r>
    </w:p>
    <w:p w:rsidR="005E5AB4" w:rsidRPr="00A40F64" w:rsidRDefault="005E5AB4" w:rsidP="005E5AB4">
      <w:pPr>
        <w:ind w:left="567"/>
        <w:jc w:val="center"/>
        <w:rPr>
          <w:b/>
          <w:lang w:val="uk-UA"/>
        </w:rPr>
      </w:pPr>
      <w:r w:rsidRPr="00A40F64">
        <w:rPr>
          <w:b/>
          <w:lang w:val="uk-UA"/>
        </w:rPr>
        <w:t>«</w:t>
      </w:r>
      <w:r w:rsidRPr="00A40F64">
        <w:rPr>
          <w:b/>
          <w:bCs/>
          <w:spacing w:val="-4"/>
        </w:rPr>
        <w:t>Фізична культура і спорт</w:t>
      </w:r>
      <w:r w:rsidRPr="00A40F64">
        <w:rPr>
          <w:b/>
          <w:lang w:val="uk-UA"/>
        </w:rPr>
        <w:t>» за 2023 рік</w:t>
      </w:r>
    </w:p>
    <w:p w:rsidR="005E5AB4" w:rsidRPr="00A40F64" w:rsidRDefault="005E5AB4" w:rsidP="005E5AB4">
      <w:pPr>
        <w:jc w:val="right"/>
        <w:rPr>
          <w:spacing w:val="-4"/>
          <w:lang w:val="uk-UA"/>
        </w:rPr>
      </w:pPr>
      <w:r w:rsidRPr="00A40F64">
        <w:rPr>
          <w:spacing w:val="-4"/>
          <w:lang w:val="uk-UA"/>
        </w:rPr>
        <w:t>тис. грн</w:t>
      </w:r>
    </w:p>
    <w:p w:rsidR="005E5AB4" w:rsidRPr="00A40F64" w:rsidRDefault="005E5AB4" w:rsidP="005E5AB4">
      <w:pPr>
        <w:jc w:val="both"/>
        <w:rPr>
          <w:color w:val="FF0000"/>
          <w:lang w:val="uk-UA"/>
        </w:rPr>
      </w:pPr>
      <w:r w:rsidRPr="00A40F64">
        <w:rPr>
          <w:noProof/>
          <w:color w:val="FF0000"/>
          <w:lang w:val="uk-UA" w:eastAsia="uk-UA"/>
        </w:rPr>
        <w:drawing>
          <wp:inline distT="0" distB="0" distL="0" distR="0">
            <wp:extent cx="6143625" cy="4191000"/>
            <wp:effectExtent l="19050" t="0" r="9525" b="0"/>
            <wp:docPr id="2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5AB4" w:rsidRPr="00A40F64" w:rsidRDefault="005E5AB4" w:rsidP="005E5AB4">
      <w:pPr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b/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b/>
          <w:color w:val="FF0000"/>
          <w:lang w:val="uk-UA"/>
        </w:rPr>
      </w:pPr>
      <w:r w:rsidRPr="00A40F64">
        <w:rPr>
          <w:b/>
          <w:color w:val="FF0000"/>
          <w:lang w:val="uk-UA"/>
        </w:rPr>
        <w:t xml:space="preserve">                                          </w:t>
      </w:r>
    </w:p>
    <w:p w:rsidR="005E5AB4" w:rsidRPr="00A40F64" w:rsidRDefault="005E5AB4" w:rsidP="005E5AB4">
      <w:pPr>
        <w:jc w:val="both"/>
        <w:rPr>
          <w:b/>
          <w:color w:val="FF0000"/>
          <w:lang w:val="uk-UA"/>
        </w:rPr>
      </w:pPr>
    </w:p>
    <w:p w:rsidR="005E5AB4" w:rsidRPr="00A40F64" w:rsidRDefault="005E5AB4" w:rsidP="005E5AB4">
      <w:pPr>
        <w:jc w:val="center"/>
        <w:rPr>
          <w:lang w:val="uk-UA"/>
        </w:rPr>
      </w:pPr>
      <w:r w:rsidRPr="00A40F64">
        <w:rPr>
          <w:b/>
          <w:lang w:val="uk-UA"/>
        </w:rPr>
        <w:t>Ж</w:t>
      </w:r>
      <w:r w:rsidRPr="00A40F64">
        <w:rPr>
          <w:b/>
        </w:rPr>
        <w:t>итлово-комунальне господарство (6000)</w:t>
      </w:r>
    </w:p>
    <w:p w:rsidR="005E5AB4" w:rsidRPr="00A40F64" w:rsidRDefault="005E5AB4" w:rsidP="005E5AB4">
      <w:pPr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t xml:space="preserve">Видатки на </w:t>
      </w:r>
      <w:r w:rsidRPr="00A40F64">
        <w:rPr>
          <w:b/>
        </w:rPr>
        <w:t xml:space="preserve">житлово-комунальне господарство </w:t>
      </w:r>
      <w:r w:rsidRPr="00A40F64">
        <w:rPr>
          <w:b/>
          <w:lang w:val="uk-UA"/>
        </w:rPr>
        <w:t xml:space="preserve">в 2023 році </w:t>
      </w:r>
      <w:r w:rsidRPr="00A40F64">
        <w:t xml:space="preserve">склали в сумі </w:t>
      </w:r>
      <w:r w:rsidRPr="00A40F64">
        <w:rPr>
          <w:lang w:val="uk-UA"/>
        </w:rPr>
        <w:t>3 226,0</w:t>
      </w:r>
      <w:r w:rsidRPr="00A40F64">
        <w:t xml:space="preserve"> тис</w:t>
      </w:r>
      <w:proofErr w:type="gramStart"/>
      <w:r w:rsidRPr="00A40F64">
        <w:t>.</w:t>
      </w:r>
      <w:proofErr w:type="gramEnd"/>
      <w:r w:rsidRPr="00A40F64">
        <w:rPr>
          <w:lang w:val="uk-UA"/>
        </w:rPr>
        <w:t xml:space="preserve"> </w:t>
      </w:r>
      <w:proofErr w:type="gramStart"/>
      <w:r w:rsidRPr="00A40F64">
        <w:t>г</w:t>
      </w:r>
      <w:proofErr w:type="gramEnd"/>
      <w:r w:rsidRPr="00A40F64">
        <w:t>рн,</w:t>
      </w:r>
      <w:r w:rsidRPr="00A40F64">
        <w:rPr>
          <w:lang w:val="uk-UA"/>
        </w:rPr>
        <w:t xml:space="preserve"> з них:</w:t>
      </w:r>
      <w:r w:rsidRPr="00A40F64">
        <w:t xml:space="preserve"> по загальному фонду – </w:t>
      </w:r>
      <w:r w:rsidRPr="00A40F64">
        <w:rPr>
          <w:lang w:val="uk-UA"/>
        </w:rPr>
        <w:t>3 181,0</w:t>
      </w:r>
      <w:r w:rsidRPr="00A40F64">
        <w:t xml:space="preserve"> тис. грн та спеціальному фонду – </w:t>
      </w:r>
      <w:r w:rsidRPr="00A40F64">
        <w:rPr>
          <w:lang w:val="uk-UA"/>
        </w:rPr>
        <w:t>45,0</w:t>
      </w:r>
      <w:r w:rsidRPr="00A40F64">
        <w:t xml:space="preserve"> тис. грн</w:t>
      </w:r>
      <w:r w:rsidRPr="00A40F64">
        <w:rPr>
          <w:lang w:val="uk-UA"/>
        </w:rPr>
        <w:t>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ind w:firstLine="709"/>
        <w:jc w:val="both"/>
      </w:pPr>
      <w:r w:rsidRPr="00A40F64">
        <w:t xml:space="preserve">Асигнування використані </w:t>
      </w:r>
      <w:proofErr w:type="gramStart"/>
      <w:r w:rsidRPr="00A40F64">
        <w:t>для</w:t>
      </w:r>
      <w:proofErr w:type="gramEnd"/>
      <w:r w:rsidRPr="00A40F64">
        <w:t xml:space="preserve"> реалізації бюджетних програм у сфері  житлово-комунального господарства, а саме на:</w:t>
      </w:r>
    </w:p>
    <w:p w:rsidR="005E5AB4" w:rsidRPr="00A40F64" w:rsidRDefault="005E5AB4" w:rsidP="005E5AB4">
      <w:pPr>
        <w:ind w:firstLine="709"/>
        <w:jc w:val="both"/>
      </w:pP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A40F64">
        <w:rPr>
          <w:lang w:val="uk-UA"/>
        </w:rPr>
        <w:t>з</w:t>
      </w:r>
      <w:r w:rsidRPr="00A40F64">
        <w:t>абезпечення збору та вивезення сміття і відходів</w:t>
      </w:r>
      <w:r w:rsidRPr="00A40F64">
        <w:rPr>
          <w:lang w:val="uk-UA"/>
        </w:rPr>
        <w:t xml:space="preserve"> </w:t>
      </w:r>
      <w:r w:rsidRPr="00A40F64">
        <w:t>–</w:t>
      </w:r>
      <w:r w:rsidRPr="00A40F64">
        <w:rPr>
          <w:lang w:val="uk-UA"/>
        </w:rPr>
        <w:t xml:space="preserve"> 698,5</w:t>
      </w:r>
      <w:r w:rsidRPr="00A40F64">
        <w:t xml:space="preserve"> тис.</w:t>
      </w:r>
      <w:r w:rsidRPr="00A40F64">
        <w:rPr>
          <w:lang w:val="uk-UA"/>
        </w:rPr>
        <w:t xml:space="preserve"> </w:t>
      </w:r>
      <w:r w:rsidRPr="00A40F64">
        <w:t>грн;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A40F64">
        <w:rPr>
          <w:lang w:val="uk-UA"/>
        </w:rPr>
        <w:t>о</w:t>
      </w:r>
      <w:r w:rsidRPr="00A40F64">
        <w:t>рганізаці</w:t>
      </w:r>
      <w:r w:rsidRPr="00A40F64">
        <w:rPr>
          <w:lang w:val="uk-UA"/>
        </w:rPr>
        <w:t>ю</w:t>
      </w:r>
      <w:r w:rsidRPr="00A40F64">
        <w:t xml:space="preserve"> благоустрою населених</w:t>
      </w:r>
      <w:r w:rsidRPr="00A40F64">
        <w:rPr>
          <w:lang w:val="uk-UA"/>
        </w:rPr>
        <w:t xml:space="preserve"> пунктів – 1757,9 тис. грн. з них: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</w:p>
    <w:p w:rsidR="005E5AB4" w:rsidRPr="00A40F64" w:rsidRDefault="005E5AB4" w:rsidP="005E5AB4">
      <w:pPr>
        <w:pStyle w:val="a7"/>
        <w:numPr>
          <w:ilvl w:val="0"/>
          <w:numId w:val="42"/>
        </w:numPr>
        <w:spacing w:line="276" w:lineRule="auto"/>
        <w:ind w:left="0" w:firstLine="709"/>
        <w:jc w:val="both"/>
      </w:pPr>
      <w:r w:rsidRPr="00A40F64">
        <w:t>кошти обласного бюджету 1 376,7 тис. грн на придбання матеріалів, будівельних матеріалів, для проведення ремонтних робіт господарським способом складських приміщень, впорядкування смі</w:t>
      </w:r>
      <w:proofErr w:type="gramStart"/>
      <w:r w:rsidRPr="00A40F64">
        <w:t>тт</w:t>
      </w:r>
      <w:proofErr w:type="gramEnd"/>
      <w:r w:rsidRPr="00A40F64">
        <w:t xml:space="preserve">єзвалища Верховинського ККП  по вул. Грушевського, 5 «Б» смт. Верховина;                </w:t>
      </w:r>
    </w:p>
    <w:p w:rsidR="005E5AB4" w:rsidRPr="00A40F64" w:rsidRDefault="005E5AB4" w:rsidP="005E5AB4">
      <w:pPr>
        <w:pStyle w:val="a7"/>
        <w:numPr>
          <w:ilvl w:val="0"/>
          <w:numId w:val="31"/>
        </w:numPr>
        <w:spacing w:after="200" w:line="276" w:lineRule="auto"/>
        <w:ind w:left="0" w:firstLine="709"/>
        <w:jc w:val="both"/>
      </w:pPr>
      <w:r w:rsidRPr="00A40F64">
        <w:t>кошти місцевого бюджету – 381,2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рн.: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A40F64">
        <w:t>послуги з прибирання тротуарних доріжок, громадських місць, вулиць та майданчиків, кладовища, озеленення – 74,8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A40F64">
        <w:t>поточний ремонт вуличного освітлення (в с</w:t>
      </w:r>
      <w:proofErr w:type="gramStart"/>
      <w:r w:rsidRPr="00A40F64">
        <w:t>.К</w:t>
      </w:r>
      <w:proofErr w:type="gramEnd"/>
      <w:r w:rsidRPr="00A40F64">
        <w:t>риворівня присілки Москалівка і Усті №1- 99,1 тис. грн; с.Голови – 34,7 тис.грн; с.Красник – 10,6 тис. грн; с.В.Ясенів – 7,9 тис.грн;  по вул. Стуса, смт Верховина – 15,7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 по вул. Грушевського, смт Верховина – 20,8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 по вул. Франка, смт Верховина – 21,0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 по вул. Поповича, смт Верховина – 5,9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 по вул. Жаб`євський потік, смт Верховина – 23,0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рн)  - 238,7 тис. грн;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A40F64">
        <w:t>ремонт лавочок (Співоче поле) – 10,0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A40F64">
        <w:t>ремонт кладки в  с.В.Ясенів – 10,0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A40F64">
        <w:t>санітарне очищення, спиляння дерев та кущів - 47,7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відшкодування</w:t>
      </w:r>
      <w:r w:rsidRPr="00A40F64">
        <w:rPr>
          <w:lang w:val="uk-UA" w:eastAsia="uk-UA" w:bidi="uk-UA"/>
        </w:rPr>
        <w:t xml:space="preserve"> </w:t>
      </w:r>
      <w:r w:rsidRPr="00A40F64">
        <w:rPr>
          <w:shd w:val="clear" w:color="auto" w:fill="FFFFFF"/>
          <w:lang w:val="uk-UA"/>
        </w:rPr>
        <w:t>різниці між фактичними витратами, пов’язаними з наданням послуг населенню,</w:t>
      </w:r>
      <w:r w:rsidRPr="00A40F64">
        <w:rPr>
          <w:lang w:val="uk-UA" w:eastAsia="uk-UA" w:bidi="uk-UA"/>
        </w:rPr>
        <w:t xml:space="preserve"> </w:t>
      </w:r>
      <w:r w:rsidRPr="00A40F64">
        <w:rPr>
          <w:shd w:val="clear" w:color="auto" w:fill="FFFFFF"/>
          <w:lang w:val="uk-UA"/>
        </w:rPr>
        <w:t>передбачені в розрахунку діючих тарифів, і</w:t>
      </w:r>
      <w:r w:rsidRPr="00A40F64">
        <w:rPr>
          <w:color w:val="FF0000"/>
          <w:shd w:val="clear" w:color="auto" w:fill="FFFFFF"/>
          <w:lang w:val="uk-UA"/>
        </w:rPr>
        <w:t xml:space="preserve"> </w:t>
      </w:r>
      <w:r w:rsidRPr="00A40F64">
        <w:rPr>
          <w:shd w:val="clear" w:color="auto" w:fill="FFFFFF"/>
          <w:lang w:val="uk-UA"/>
        </w:rPr>
        <w:t>фактичним нарахуванням згідно з тарифом, що встановлювалися  селищною радою</w:t>
      </w:r>
      <w:r w:rsidRPr="00A40F64">
        <w:rPr>
          <w:lang w:val="uk-UA" w:eastAsia="uk-UA" w:bidi="uk-UA"/>
        </w:rPr>
        <w:t xml:space="preserve"> на </w:t>
      </w:r>
      <w:r w:rsidRPr="00A40F64">
        <w:rPr>
          <w:lang w:val="uk-UA"/>
        </w:rPr>
        <w:t>централізоване водопостачання та водовідведення – 664,9 тис. грн;</w:t>
      </w:r>
    </w:p>
    <w:p w:rsidR="005E5AB4" w:rsidRPr="00524BD2" w:rsidRDefault="005E5AB4" w:rsidP="005E5AB4">
      <w:pPr>
        <w:pStyle w:val="a7"/>
        <w:numPr>
          <w:ilvl w:val="0"/>
          <w:numId w:val="12"/>
        </w:numPr>
        <w:spacing w:after="200" w:line="276" w:lineRule="auto"/>
        <w:ind w:left="0" w:firstLine="709"/>
        <w:jc w:val="both"/>
        <w:rPr>
          <w:color w:val="FF0000"/>
          <w:lang w:val="uk-UA"/>
        </w:rPr>
      </w:pPr>
      <w:r w:rsidRPr="00524BD2">
        <w:rPr>
          <w:lang w:val="uk-UA"/>
        </w:rPr>
        <w:t xml:space="preserve">заходи  «Програми зміцнення матеріально-технічної бази Верховинського </w:t>
      </w:r>
      <w:r w:rsidRPr="00A40F64">
        <w:t> </w:t>
      </w:r>
      <w:r w:rsidRPr="00524BD2">
        <w:rPr>
          <w:lang w:val="uk-UA"/>
        </w:rPr>
        <w:t>водопровідно-каналізаційного підприємства» - 104,7 тис.грн з яких: 59,7 тис. грн за загальним фондом (в т.ч. 34,7 тис. грн - дозвільна документація на спеціальне  водовикористання, 25,0 тис. грн – придбання гідрантів) і 45,0 тис. грн за спеціальним фондом (придбання глибинного насоса для подачі води).</w:t>
      </w:r>
    </w:p>
    <w:p w:rsidR="005E5AB4" w:rsidRPr="00524BD2" w:rsidRDefault="005E5AB4" w:rsidP="005E5AB4">
      <w:pPr>
        <w:pStyle w:val="a7"/>
        <w:rPr>
          <w:lang w:val="uk-UA"/>
        </w:rPr>
      </w:pPr>
    </w:p>
    <w:p w:rsidR="005E5AB4" w:rsidRPr="00A40F64" w:rsidRDefault="005E5AB4" w:rsidP="005E5AB4">
      <w:pPr>
        <w:shd w:val="clear" w:color="auto" w:fill="FFFFFF"/>
        <w:spacing w:before="120"/>
        <w:jc w:val="center"/>
        <w:rPr>
          <w:b/>
          <w:bCs/>
          <w:spacing w:val="-4"/>
          <w:lang w:val="uk-UA"/>
        </w:rPr>
      </w:pPr>
      <w:r w:rsidRPr="00A40F64">
        <w:rPr>
          <w:b/>
          <w:bCs/>
          <w:spacing w:val="-4"/>
          <w:lang w:val="uk-UA"/>
        </w:rPr>
        <w:t>Економічна діяльність (7000)</w:t>
      </w:r>
    </w:p>
    <w:p w:rsidR="005E5AB4" w:rsidRPr="00A40F64" w:rsidRDefault="005E5AB4" w:rsidP="005E5AB4">
      <w:pPr>
        <w:shd w:val="clear" w:color="auto" w:fill="FFFFFF"/>
        <w:spacing w:before="120"/>
        <w:jc w:val="center"/>
        <w:rPr>
          <w:b/>
          <w:bCs/>
          <w:spacing w:val="-4"/>
          <w:lang w:val="uk-UA"/>
        </w:rPr>
      </w:pPr>
    </w:p>
    <w:p w:rsidR="005E5AB4" w:rsidRPr="00A40F64" w:rsidRDefault="005E5AB4" w:rsidP="005E5AB4">
      <w:pPr>
        <w:shd w:val="clear" w:color="auto" w:fill="FFFFFF"/>
        <w:ind w:firstLine="709"/>
        <w:jc w:val="both"/>
        <w:rPr>
          <w:spacing w:val="-5"/>
          <w:lang w:val="uk-UA"/>
        </w:rPr>
      </w:pPr>
      <w:r w:rsidRPr="00A40F64">
        <w:rPr>
          <w:spacing w:val="2"/>
          <w:lang w:val="uk-UA"/>
        </w:rPr>
        <w:t>Бюджет галузі «Економічна діяльність</w:t>
      </w:r>
      <w:r w:rsidRPr="00A40F64">
        <w:rPr>
          <w:shd w:val="clear" w:color="auto" w:fill="FFFFFF"/>
          <w:lang w:val="uk-UA"/>
        </w:rPr>
        <w:t xml:space="preserve">» за звітний період виконано в сумі 18 011,2 тис. грн (1035,9 тис.грн - загальний фонд, 16 975,3 тис. грн - спеціальний фонд).  </w:t>
      </w:r>
    </w:p>
    <w:p w:rsidR="005E5AB4" w:rsidRPr="00A40F64" w:rsidRDefault="005E5AB4" w:rsidP="005E5AB4">
      <w:pPr>
        <w:ind w:firstLine="709"/>
        <w:rPr>
          <w:shd w:val="clear" w:color="auto" w:fill="FFFFFF"/>
          <w:lang w:val="uk-UA"/>
        </w:rPr>
      </w:pPr>
      <w:r w:rsidRPr="00A40F64">
        <w:rPr>
          <w:color w:val="FF0000"/>
          <w:lang w:val="uk-UA"/>
        </w:rPr>
        <w:tab/>
      </w:r>
      <w:r w:rsidRPr="00A40F64">
        <w:rPr>
          <w:b/>
          <w:lang w:val="uk-UA"/>
        </w:rPr>
        <w:t xml:space="preserve">Структуру напрямків асигнувань у розрізі </w:t>
      </w:r>
      <w:r w:rsidRPr="00A40F64">
        <w:rPr>
          <w:b/>
          <w:spacing w:val="-4"/>
        </w:rPr>
        <w:t>бюджетних програм</w:t>
      </w:r>
      <w:r w:rsidRPr="00A40F64">
        <w:rPr>
          <w:b/>
          <w:spacing w:val="-4"/>
          <w:lang w:val="uk-UA"/>
        </w:rPr>
        <w:t xml:space="preserve"> по</w:t>
      </w:r>
      <w:r w:rsidRPr="00A40F64">
        <w:rPr>
          <w:b/>
          <w:spacing w:val="-4"/>
        </w:rPr>
        <w:t xml:space="preserve"> </w:t>
      </w:r>
      <w:r w:rsidRPr="00A40F64">
        <w:rPr>
          <w:b/>
          <w:lang w:val="uk-UA"/>
        </w:rPr>
        <w:t xml:space="preserve">галузі  </w:t>
      </w:r>
      <w:r w:rsidRPr="00A40F64">
        <w:rPr>
          <w:spacing w:val="2"/>
          <w:lang w:val="uk-UA"/>
        </w:rPr>
        <w:t>«Економічна діяльність</w:t>
      </w:r>
      <w:r w:rsidRPr="00A40F64">
        <w:rPr>
          <w:shd w:val="clear" w:color="auto" w:fill="FFFFFF"/>
          <w:lang w:val="uk-UA"/>
        </w:rPr>
        <w:t>» у 2023 році складають видатки на :</w:t>
      </w:r>
    </w:p>
    <w:p w:rsidR="005E5AB4" w:rsidRPr="00A40F64" w:rsidRDefault="005E5AB4" w:rsidP="005E5AB4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A40F64">
        <w:rPr>
          <w:lang w:val="uk-UA" w:eastAsia="uk-UA"/>
        </w:rPr>
        <w:t xml:space="preserve">  проєкт 1НА</w:t>
      </w:r>
      <w:r w:rsidRPr="00A40F64">
        <w:rPr>
          <w:lang w:eastAsia="uk-UA"/>
        </w:rPr>
        <w:t>RD</w:t>
      </w:r>
      <w:r w:rsidRPr="00A40F64">
        <w:rPr>
          <w:lang w:val="uk-UA" w:eastAsia="uk-UA"/>
        </w:rPr>
        <w:t xml:space="preserve">/4.1/26 «Спільні дії щодо вдосконалення транскордонного управління та контролю за епідеміологічними показниками серед румунського та українського населення» спільної програми Румунія - Україна 2014-2020»  </w:t>
      </w:r>
      <w:r w:rsidRPr="00A40F64">
        <w:rPr>
          <w:lang w:val="uk-UA"/>
        </w:rPr>
        <w:t>– 15 400,6 тис. грн, з яких: -15 270,6 тис. грн – грантові кошти Європейського Союзу, 129,9 тис. грн – кошти місцевого бюджету,  в рамках спів фінансування проекту;</w:t>
      </w:r>
    </w:p>
    <w:p w:rsidR="005E5AB4" w:rsidRPr="00A40F64" w:rsidRDefault="005E5AB4" w:rsidP="005E5AB4">
      <w:pPr>
        <w:pStyle w:val="af3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F64">
        <w:rPr>
          <w:rFonts w:ascii="Times New Roman" w:hAnsi="Times New Roman"/>
          <w:sz w:val="24"/>
          <w:szCs w:val="24"/>
        </w:rPr>
        <w:lastRenderedPageBreak/>
        <w:t>виконання робіт з проведення нормативної грошової оцінки земель сіл Кривопілля, Стаїще та Волова Верховинського району Івано-Франківської області, відповідно до заходів «Програми використання коштів, що надходять в порядку відшкодування втрат сільськогосподарського і лісогосподарського виробництва на території Верховинської селищної ради» на 2023 рік – 100,0 тис. грн, з них 64,0 тис. грн кошти обласного бюджету (спеціальний фонд) і 36,0 тис. грн кошти місцевого бюджету (загальний фонд);</w:t>
      </w:r>
    </w:p>
    <w:p w:rsidR="005E5AB4" w:rsidRPr="00A40F64" w:rsidRDefault="005E5AB4" w:rsidP="005E5AB4">
      <w:pPr>
        <w:pStyle w:val="af3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F64">
        <w:rPr>
          <w:rFonts w:ascii="Times New Roman" w:hAnsi="Times New Roman"/>
          <w:sz w:val="24"/>
          <w:szCs w:val="24"/>
        </w:rPr>
        <w:t>здійснення інвентаризації землі на території громади відповідно до заходів «Програми використання коштів, що надходять в порядку відшкодування втрат сільськогосподарського і лісогосподарського виробництва на території Верховинської селищної ради» на 2023 рік – 96,8 тис. грн (спеціальний фонд);</w:t>
      </w:r>
    </w:p>
    <w:p w:rsidR="005E5AB4" w:rsidRPr="00A40F64" w:rsidRDefault="005E5AB4" w:rsidP="005E5AB4">
      <w:pPr>
        <w:pStyle w:val="a7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A40F64">
        <w:t xml:space="preserve">реалізацію інших заходів щодо </w:t>
      </w:r>
      <w:proofErr w:type="gramStart"/>
      <w:r w:rsidRPr="00A40F64">
        <w:t>соц</w:t>
      </w:r>
      <w:proofErr w:type="gramEnd"/>
      <w:r w:rsidRPr="00A40F64">
        <w:t xml:space="preserve">іально-економічного розвитку територій – 1 349,1 тис. грн, з яких: </w:t>
      </w:r>
    </w:p>
    <w:p w:rsidR="005E5AB4" w:rsidRPr="00A40F64" w:rsidRDefault="005E5AB4" w:rsidP="005E5AB4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40F64">
        <w:rPr>
          <w:rFonts w:ascii="Times New Roman" w:hAnsi="Times New Roman"/>
          <w:sz w:val="24"/>
          <w:szCs w:val="24"/>
        </w:rPr>
        <w:t>кошти місцевого бюджету</w:t>
      </w:r>
      <w:r w:rsidRPr="00A40F64">
        <w:rPr>
          <w:rFonts w:ascii="Times New Roman" w:hAnsi="Times New Roman"/>
          <w:bCs/>
          <w:sz w:val="24"/>
          <w:szCs w:val="24"/>
        </w:rPr>
        <w:t xml:space="preserve"> 567,6  тис. грн, а саме:</w:t>
      </w:r>
    </w:p>
    <w:p w:rsidR="005E5AB4" w:rsidRPr="00A40F64" w:rsidRDefault="005E5AB4" w:rsidP="005E5AB4">
      <w:pPr>
        <w:pStyle w:val="a9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40F64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A40F64">
        <w:rPr>
          <w:rFonts w:ascii="Times New Roman" w:hAnsi="Times New Roman"/>
          <w:sz w:val="24"/>
          <w:szCs w:val="24"/>
        </w:rPr>
        <w:t xml:space="preserve">оплата відкоригованої  проектно - кошторисної документації по проекту: «Нове будівництво майданчика зі штучним покриттям для Красноїльської ЗОШ -1-111 ступеня  в с.Красноїлля Верховинського району Івано-Франківської області» - 48,6 тис. грн, капітальний ремонт протирадіаційного укриття Верховинського ліцею №1- 64,9 тис.грн, оплата </w:t>
      </w:r>
      <w:r w:rsidRPr="00A40F64">
        <w:rPr>
          <w:rFonts w:ascii="Times New Roman" w:hAnsi="Times New Roman"/>
          <w:bCs/>
          <w:sz w:val="24"/>
          <w:szCs w:val="24"/>
        </w:rPr>
        <w:t xml:space="preserve">перерахунку </w:t>
      </w:r>
      <w:r w:rsidRPr="00A40F64">
        <w:rPr>
          <w:rFonts w:ascii="Times New Roman" w:hAnsi="Times New Roman"/>
          <w:sz w:val="24"/>
          <w:szCs w:val="24"/>
        </w:rPr>
        <w:t xml:space="preserve">кошторисної документації «Реконструкція будівлі ЗОШ І-ІІІ ст. з добудовою навчального корпусу та спортивного залу в с. Красноїлля» (коригування) – 49,6 тис. грн, спів фінансування капітального ремонту частини приміщення спального корпусу (системи опалення) Верховинського ліцею №1 – 378,9 тис.грн, </w:t>
      </w:r>
      <w:r w:rsidRPr="00A40F64">
        <w:rPr>
          <w:rFonts w:ascii="Times New Roman" w:hAnsi="Times New Roman"/>
          <w:bCs/>
          <w:sz w:val="24"/>
          <w:szCs w:val="24"/>
        </w:rPr>
        <w:t xml:space="preserve">перерахунок </w:t>
      </w:r>
      <w:r w:rsidRPr="00A40F64">
        <w:rPr>
          <w:rFonts w:ascii="Times New Roman" w:hAnsi="Times New Roman"/>
          <w:sz w:val="24"/>
          <w:szCs w:val="24"/>
        </w:rPr>
        <w:t xml:space="preserve">кошторисної документації «Реконструкція будівлі ЗОШ І-ІІІ ст. з добудовою навчального корпусу та спортивного залу в с. Красноїлля» (коригування) – 25,6 тис.грн;  </w:t>
      </w:r>
    </w:p>
    <w:p w:rsidR="005E5AB4" w:rsidRPr="00A40F64" w:rsidRDefault="005E5AB4" w:rsidP="005E5AB4">
      <w:pPr>
        <w:pStyle w:val="a7"/>
        <w:numPr>
          <w:ilvl w:val="0"/>
          <w:numId w:val="42"/>
        </w:numPr>
        <w:spacing w:after="200" w:line="276" w:lineRule="auto"/>
        <w:ind w:left="0" w:firstLine="1058"/>
        <w:jc w:val="both"/>
        <w:rPr>
          <w:noProof/>
        </w:rPr>
      </w:pPr>
      <w:r w:rsidRPr="00A40F64">
        <w:t>кошти обласного бюджету 781,5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рн, а саме:  капітальний ремонт частини приміщення спального корпусу (системи опалення) Верховинського ліцею №1 – 631,5 тис. грн; будівництво дахового покриття для споруди цивільного захисту Верховинського ліцею №1 Верховинської селищної ради – 150,0 тис. грн. </w:t>
      </w:r>
    </w:p>
    <w:p w:rsidR="005E5AB4" w:rsidRPr="00A40F64" w:rsidRDefault="005E5AB4" w:rsidP="005E5AB4">
      <w:pPr>
        <w:numPr>
          <w:ilvl w:val="0"/>
          <w:numId w:val="43"/>
        </w:numPr>
        <w:ind w:left="0" w:firstLine="709"/>
        <w:jc w:val="both"/>
        <w:rPr>
          <w:lang w:val="uk-UA"/>
        </w:rPr>
      </w:pPr>
      <w:r w:rsidRPr="00A40F64">
        <w:rPr>
          <w:lang w:val="uk-UA"/>
        </w:rPr>
        <w:t>на реалізацію заходів програми розвитку агропромислового комплексу та сільських територій Верховинської селищної ради на 2021-2023 роки – 15,0 тис. грн на часткове спів фінансування проекту «Нарощування виробництва та часткова механізація технологічних процесів з пробки та виготовлення екологічно чистої молочної продукції традиційних гуцульських видів сиру, коров`ячої та овечої бринзи» для ФГ Маротчак М.Д. с.Красноїлля.</w:t>
      </w:r>
    </w:p>
    <w:p w:rsidR="005E5AB4" w:rsidRPr="00A40F64" w:rsidRDefault="005E5AB4" w:rsidP="005E5AB4">
      <w:pPr>
        <w:pStyle w:val="a7"/>
        <w:numPr>
          <w:ilvl w:val="0"/>
          <w:numId w:val="37"/>
        </w:numPr>
        <w:tabs>
          <w:tab w:val="left" w:pos="0"/>
        </w:tabs>
        <w:ind w:left="0" w:firstLine="709"/>
        <w:jc w:val="both"/>
      </w:pPr>
      <w:r w:rsidRPr="00A40F64">
        <w:t>утримання та розвиток автомобільних доріг та дорожньої інфраструктури за рахунок коштів місцевого бюджету  - 999,9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>рн;</w:t>
      </w:r>
    </w:p>
    <w:p w:rsidR="005E5AB4" w:rsidRPr="00A40F64" w:rsidRDefault="005E5AB4" w:rsidP="005E5AB4">
      <w:pPr>
        <w:ind w:firstLine="709"/>
        <w:rPr>
          <w:lang w:val="uk-UA"/>
        </w:rPr>
      </w:pPr>
      <w:r w:rsidRPr="00A40F64">
        <w:rPr>
          <w:lang w:val="uk-UA"/>
        </w:rPr>
        <w:br w:type="page"/>
      </w:r>
    </w:p>
    <w:p w:rsidR="005E5AB4" w:rsidRPr="00A40F64" w:rsidRDefault="005E5AB4" w:rsidP="005E5AB4">
      <w:pPr>
        <w:tabs>
          <w:tab w:val="left" w:pos="0"/>
        </w:tabs>
        <w:ind w:firstLine="567"/>
        <w:jc w:val="both"/>
        <w:rPr>
          <w:color w:val="FF0000"/>
          <w:lang w:val="uk-UA"/>
        </w:rPr>
      </w:pPr>
    </w:p>
    <w:p w:rsidR="005E5AB4" w:rsidRPr="00A40F64" w:rsidRDefault="005E5AB4" w:rsidP="005E5AB4">
      <w:pPr>
        <w:jc w:val="both"/>
        <w:rPr>
          <w:b/>
          <w:color w:val="000000" w:themeColor="text1"/>
          <w:lang w:val="uk-UA"/>
        </w:rPr>
      </w:pPr>
      <w:r w:rsidRPr="00A40F64">
        <w:rPr>
          <w:b/>
          <w:color w:val="000000" w:themeColor="text1"/>
          <w:lang w:val="uk-UA"/>
        </w:rPr>
        <w:t xml:space="preserve">                                              Інша діяльність (8000)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</w:p>
    <w:p w:rsidR="005E5AB4" w:rsidRPr="00A40F64" w:rsidRDefault="005E5AB4" w:rsidP="005E5AB4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A40F64">
        <w:rPr>
          <w:color w:val="000000" w:themeColor="text1"/>
          <w:lang w:val="uk-UA"/>
        </w:rPr>
        <w:t xml:space="preserve">Видатки на іншу діяльність у 2023 році склали в сумі 6 329,9 тис. грн, з них: видатки </w:t>
      </w:r>
      <w:r w:rsidRPr="00A40F64">
        <w:rPr>
          <w:color w:val="000000" w:themeColor="text1"/>
          <w:shd w:val="clear" w:color="auto" w:fill="FFFFFF"/>
          <w:lang w:val="uk-UA"/>
        </w:rPr>
        <w:t>загального фонду – 1686,3  тис. грн, видатки спеціального фонду –4 643,6 тис. грн.</w:t>
      </w:r>
    </w:p>
    <w:p w:rsidR="005E5AB4" w:rsidRPr="00A40F64" w:rsidRDefault="005E5AB4" w:rsidP="005E5AB4">
      <w:pPr>
        <w:spacing w:line="276" w:lineRule="auto"/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</w:rPr>
        <w:t xml:space="preserve">Асигнування використані </w:t>
      </w:r>
      <w:proofErr w:type="gramStart"/>
      <w:r w:rsidRPr="00A40F64">
        <w:rPr>
          <w:color w:val="000000" w:themeColor="text1"/>
        </w:rPr>
        <w:t>для</w:t>
      </w:r>
      <w:proofErr w:type="gramEnd"/>
      <w:r w:rsidRPr="00A40F64">
        <w:rPr>
          <w:color w:val="000000" w:themeColor="text1"/>
        </w:rPr>
        <w:t xml:space="preserve"> реалізації бюджетних програм</w:t>
      </w:r>
      <w:r w:rsidRPr="00A40F64">
        <w:rPr>
          <w:color w:val="000000" w:themeColor="text1"/>
          <w:lang w:val="uk-UA"/>
        </w:rPr>
        <w:t xml:space="preserve"> на</w:t>
      </w:r>
      <w:r w:rsidRPr="00A40F64">
        <w:rPr>
          <w:color w:val="000000" w:themeColor="text1"/>
        </w:rPr>
        <w:t>: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426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 Заходи із запобігання та ліквідації надзвичайних ситуацій та наслідків стихійного лиха – 1 000,00 тис. грн</w:t>
      </w:r>
      <w:r w:rsidRPr="00A40F64">
        <w:rPr>
          <w:lang w:val="uk-UA"/>
        </w:rPr>
        <w:t xml:space="preserve"> (кошти з обласного бюджету для ліквідації наслідків стихії, що сталася 16-18.06.2023 р.).</w:t>
      </w:r>
    </w:p>
    <w:p w:rsidR="005E5AB4" w:rsidRPr="00A40F64" w:rsidRDefault="005E5AB4" w:rsidP="005E5AB4">
      <w:pPr>
        <w:pStyle w:val="2"/>
        <w:spacing w:before="0"/>
        <w:jc w:val="center"/>
        <w:rPr>
          <w:i/>
          <w:iCs/>
          <w:sz w:val="24"/>
          <w:szCs w:val="24"/>
        </w:rPr>
      </w:pPr>
      <w:proofErr w:type="gramStart"/>
      <w:r w:rsidRPr="00A40F64">
        <w:rPr>
          <w:sz w:val="24"/>
          <w:szCs w:val="24"/>
        </w:rPr>
        <w:t xml:space="preserve">Перелік об`єктів, що фінансувалися за рахунок коштів        спеціального фонду обласного бюджету для ліквідації наслідків стихії, що                        сталася 16-18.06.2023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3"/>
        <w:gridCol w:w="2693"/>
      </w:tblGrid>
      <w:tr w:rsidR="005E5AB4" w:rsidRPr="00A40F64" w:rsidTr="00510997">
        <w:trPr>
          <w:cantSplit/>
          <w:trHeight w:val="585"/>
        </w:trPr>
        <w:tc>
          <w:tcPr>
            <w:tcW w:w="851" w:type="dxa"/>
            <w:vMerge w:val="restart"/>
            <w:vAlign w:val="center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№</w:t>
            </w:r>
          </w:p>
          <w:p w:rsidR="005E5AB4" w:rsidRPr="00A40F64" w:rsidRDefault="005E5AB4" w:rsidP="00510997">
            <w:pPr>
              <w:contextualSpacing/>
              <w:jc w:val="center"/>
            </w:pPr>
            <w:r w:rsidRPr="00A40F64">
              <w:t>з/</w:t>
            </w:r>
            <w:proofErr w:type="gramStart"/>
            <w:r w:rsidRPr="00A40F64">
              <w:t>п</w:t>
            </w:r>
            <w:proofErr w:type="gramEnd"/>
          </w:p>
        </w:tc>
        <w:tc>
          <w:tcPr>
            <w:tcW w:w="6663" w:type="dxa"/>
            <w:vMerge w:val="restart"/>
            <w:vAlign w:val="center"/>
          </w:tcPr>
          <w:p w:rsidR="005E5AB4" w:rsidRPr="00A40F64" w:rsidRDefault="005E5AB4" w:rsidP="00510997">
            <w:pPr>
              <w:ind w:firstLine="49"/>
              <w:contextualSpacing/>
            </w:pPr>
            <w:r w:rsidRPr="00A40F64">
              <w:t>Найменування об`єктів</w:t>
            </w:r>
            <w:proofErr w:type="gramStart"/>
            <w:r w:rsidRPr="00A40F64">
              <w:t>,з</w:t>
            </w:r>
            <w:proofErr w:type="gramEnd"/>
            <w:r w:rsidRPr="00A40F64">
              <w:t>аходів, робіт</w:t>
            </w:r>
          </w:p>
        </w:tc>
        <w:tc>
          <w:tcPr>
            <w:tcW w:w="2693" w:type="dxa"/>
            <w:vMerge w:val="restart"/>
            <w:vAlign w:val="center"/>
          </w:tcPr>
          <w:p w:rsidR="005E5AB4" w:rsidRPr="00A40F64" w:rsidRDefault="005E5AB4" w:rsidP="00510997">
            <w:pPr>
              <w:contextualSpacing/>
              <w:rPr>
                <w:lang w:val="uk-UA"/>
              </w:rPr>
            </w:pPr>
            <w:r w:rsidRPr="00A40F64">
              <w:t>Загальна вартість визначена кошторисом</w:t>
            </w:r>
            <w:proofErr w:type="gramStart"/>
            <w:r w:rsidRPr="00A40F64">
              <w:rPr>
                <w:lang w:val="uk-UA"/>
              </w:rPr>
              <w:t xml:space="preserve"> ,</w:t>
            </w:r>
            <w:proofErr w:type="gramEnd"/>
            <w:r w:rsidRPr="00A40F64">
              <w:rPr>
                <w:lang w:val="uk-UA"/>
              </w:rPr>
              <w:t xml:space="preserve"> тис.грн</w:t>
            </w:r>
          </w:p>
        </w:tc>
      </w:tr>
      <w:tr w:rsidR="005E5AB4" w:rsidRPr="00A40F64" w:rsidTr="00510997"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5E5AB4" w:rsidRPr="00A40F64" w:rsidRDefault="005E5AB4" w:rsidP="00510997">
            <w:pPr>
              <w:contextualSpacing/>
              <w:jc w:val="center"/>
            </w:pPr>
          </w:p>
        </w:tc>
        <w:tc>
          <w:tcPr>
            <w:tcW w:w="6663" w:type="dxa"/>
            <w:vMerge/>
            <w:vAlign w:val="center"/>
          </w:tcPr>
          <w:p w:rsidR="005E5AB4" w:rsidRPr="00A40F64" w:rsidRDefault="005E5AB4" w:rsidP="00510997">
            <w:pPr>
              <w:contextualSpacing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5E5AB4" w:rsidRPr="00A40F64" w:rsidRDefault="005E5AB4" w:rsidP="00510997">
            <w:pPr>
              <w:contextualSpacing/>
              <w:jc w:val="center"/>
            </w:pPr>
          </w:p>
        </w:tc>
      </w:tr>
      <w:tr w:rsidR="005E5AB4" w:rsidRPr="00A40F64" w:rsidTr="00510997">
        <w:trPr>
          <w:cantSplit/>
          <w:trHeight w:val="876"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1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  <w:jc w:val="both"/>
            </w:pPr>
            <w:r w:rsidRPr="00A40F64">
              <w:t xml:space="preserve">Відновлення автомобільної дороги комунальної форми власності Верховина – Віпче (Невестюка)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104</w:t>
            </w:r>
            <w:r w:rsidRPr="00A40F64">
              <w:rPr>
                <w:lang w:val="uk-UA"/>
              </w:rPr>
              <w:t>,</w:t>
            </w:r>
            <w:r w:rsidRPr="00A40F64">
              <w:t> 9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2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 xml:space="preserve">Відновлення автомобільної дороги комунальної форми власності Верховина-Підмагора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94</w:t>
            </w:r>
            <w:r w:rsidRPr="00A40F64">
              <w:rPr>
                <w:lang w:val="uk-UA"/>
              </w:rPr>
              <w:t>,</w:t>
            </w:r>
            <w:r w:rsidRPr="00A40F64">
              <w:t> 2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3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 xml:space="preserve">Відновлення автомобільної дороги комунальної форми власності Вулиця Лесі Українки с. Красник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150</w:t>
            </w:r>
            <w:r w:rsidRPr="00A40F64">
              <w:rPr>
                <w:lang w:val="uk-UA"/>
              </w:rPr>
              <w:t>,</w:t>
            </w:r>
            <w:r w:rsidRPr="00A40F64">
              <w:t> 2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4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 xml:space="preserve">Відновлення автомобільної дороги комунальної форми власності Вулиця Незалежності с. Красник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80</w:t>
            </w:r>
            <w:r w:rsidRPr="00A40F64">
              <w:rPr>
                <w:lang w:val="uk-UA"/>
              </w:rPr>
              <w:t>,</w:t>
            </w:r>
            <w:r w:rsidRPr="00A40F64">
              <w:t> 5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5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 xml:space="preserve">Відновлення автомобільної дороги комунальної форми власності Вулиця Робітнича с. Красник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73,0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6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>Відновлення автомобільної дороги комунальної форми власності Вулиця В.Зузяка та Дружби с</w:t>
            </w:r>
            <w:proofErr w:type="gramStart"/>
            <w:r w:rsidRPr="00A40F64">
              <w:t>.К</w:t>
            </w:r>
            <w:proofErr w:type="gramEnd"/>
            <w:r w:rsidRPr="00A40F64">
              <w:t xml:space="preserve">расник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143</w:t>
            </w:r>
            <w:r w:rsidRPr="00A40F64">
              <w:rPr>
                <w:lang w:val="uk-UA"/>
              </w:rPr>
              <w:t>,</w:t>
            </w:r>
            <w:r w:rsidRPr="00A40F64">
              <w:t>5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7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>Відновлення автомобільної дороги комунальної форми власності Вулиця Зарічна с</w:t>
            </w:r>
            <w:proofErr w:type="gramStart"/>
            <w:r w:rsidRPr="00A40F64">
              <w:t>.К</w:t>
            </w:r>
            <w:proofErr w:type="gramEnd"/>
            <w:r w:rsidRPr="00A40F64">
              <w:t xml:space="preserve">расник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45,5</w:t>
            </w:r>
          </w:p>
        </w:tc>
      </w:tr>
      <w:tr w:rsidR="005E5AB4" w:rsidRPr="00A40F64" w:rsidTr="00510997">
        <w:trPr>
          <w:cantSplit/>
          <w:trHeight w:val="1195"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8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ind w:left="57" w:right="57"/>
            </w:pPr>
            <w:r w:rsidRPr="00A40F64">
              <w:t>Відновлення автомобільної дороги комунальної форми власності Красноїлля-Замагора присілок Гофа с</w:t>
            </w:r>
            <w:proofErr w:type="gramStart"/>
            <w:r w:rsidRPr="00A40F64">
              <w:t>.З</w:t>
            </w:r>
            <w:proofErr w:type="gramEnd"/>
            <w:r w:rsidRPr="00A40F64">
              <w:t xml:space="preserve">амагора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103</w:t>
            </w:r>
            <w:r w:rsidRPr="00A40F64">
              <w:rPr>
                <w:lang w:val="uk-UA"/>
              </w:rPr>
              <w:t>,</w:t>
            </w:r>
            <w:r w:rsidRPr="00A40F64">
              <w:t>6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9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>Відновлення автомобільної дороги комунальної форми власності Жолоби-Синиці  присілку Жолоби с</w:t>
            </w:r>
            <w:proofErr w:type="gramStart"/>
            <w:r w:rsidRPr="00A40F64">
              <w:t>.К</w:t>
            </w:r>
            <w:proofErr w:type="gramEnd"/>
            <w:r w:rsidRPr="00A40F64">
              <w:t xml:space="preserve">расноїлля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103</w:t>
            </w:r>
            <w:r w:rsidRPr="00A40F64">
              <w:rPr>
                <w:lang w:val="uk-UA"/>
              </w:rPr>
              <w:t>,</w:t>
            </w:r>
            <w:r w:rsidRPr="00A40F64">
              <w:t>8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10</w:t>
            </w: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</w:pPr>
            <w:r w:rsidRPr="00A40F64">
              <w:t xml:space="preserve">Відновлення автомобільної дороги комунальної форми власності, біля господарства Сорюк М.В., присілок Чорна </w:t>
            </w:r>
            <w:proofErr w:type="gramStart"/>
            <w:r w:rsidRPr="00A40F64">
              <w:t>Р</w:t>
            </w:r>
            <w:proofErr w:type="gramEnd"/>
            <w:r w:rsidRPr="00A40F64">
              <w:t>ічка, Голівського старостинського округу</w:t>
            </w:r>
            <w:r w:rsidRPr="00A40F64">
              <w:rPr>
                <w:lang w:val="uk-UA"/>
              </w:rPr>
              <w:t xml:space="preserve"> </w:t>
            </w:r>
            <w:r w:rsidRPr="00A40F64">
              <w:t xml:space="preserve">  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jc w:val="center"/>
            </w:pPr>
            <w:r w:rsidRPr="00A40F64">
              <w:t>100</w:t>
            </w:r>
            <w:r w:rsidRPr="00A40F64">
              <w:rPr>
                <w:lang w:val="uk-UA"/>
              </w:rPr>
              <w:t>,8</w:t>
            </w:r>
          </w:p>
          <w:p w:rsidR="005E5AB4" w:rsidRPr="00A40F64" w:rsidRDefault="005E5AB4" w:rsidP="00510997">
            <w:pPr>
              <w:jc w:val="center"/>
            </w:pP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</w:p>
        </w:tc>
        <w:tc>
          <w:tcPr>
            <w:tcW w:w="6663" w:type="dxa"/>
          </w:tcPr>
          <w:p w:rsidR="005E5AB4" w:rsidRPr="00A40F64" w:rsidRDefault="005E5AB4" w:rsidP="00510997">
            <w:pPr>
              <w:contextualSpacing/>
              <w:rPr>
                <w:b/>
              </w:rPr>
            </w:pPr>
            <w:r w:rsidRPr="00A40F64">
              <w:rPr>
                <w:b/>
              </w:rPr>
              <w:t>Разом:</w:t>
            </w:r>
          </w:p>
        </w:tc>
        <w:tc>
          <w:tcPr>
            <w:tcW w:w="2693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rPr>
                <w:b/>
              </w:rPr>
              <w:t>1 000,0</w:t>
            </w:r>
          </w:p>
        </w:tc>
      </w:tr>
    </w:tbl>
    <w:p w:rsidR="005E5AB4" w:rsidRPr="00A40F64" w:rsidRDefault="005E5AB4" w:rsidP="005E5AB4">
      <w:pPr>
        <w:spacing w:line="276" w:lineRule="auto"/>
        <w:ind w:left="786"/>
        <w:jc w:val="both"/>
        <w:rPr>
          <w:color w:val="000000" w:themeColor="text1"/>
          <w:lang w:val="uk-UA"/>
        </w:rPr>
      </w:pP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Заходи та роботи з мобілізаційної підготовки місцевого значення – 174,4 тис. грн по п</w:t>
      </w:r>
      <w:r w:rsidRPr="00A40F64">
        <w:t>рограм</w:t>
      </w:r>
      <w:r w:rsidRPr="00A40F64">
        <w:rPr>
          <w:lang w:val="uk-UA"/>
        </w:rPr>
        <w:t>і</w:t>
      </w:r>
      <w:r w:rsidRPr="00A40F64">
        <w:t xml:space="preserve"> «Сприяння обороноздатності України на 2023 рік»</w:t>
      </w:r>
      <w:r w:rsidRPr="00A40F64">
        <w:rPr>
          <w:lang w:val="uk-UA"/>
        </w:rPr>
        <w:t xml:space="preserve"> </w:t>
      </w:r>
      <w:r w:rsidRPr="00A40F64">
        <w:rPr>
          <w:color w:val="000000" w:themeColor="text1"/>
          <w:lang w:val="uk-UA"/>
        </w:rPr>
        <w:t>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Інші заходи громадського порядку та безпеки – 227,0 тис. грн для виконання заходів п</w:t>
      </w:r>
      <w:r w:rsidRPr="00A40F64">
        <w:rPr>
          <w:lang w:val="uk-UA"/>
        </w:rPr>
        <w:t>рограми «Підтримки Збройних сил України» (придбання господарських товарів на суму 9,5 тис. грн та придбання 2 квадрокоптерів «</w:t>
      </w:r>
      <w:r w:rsidRPr="00A40F64">
        <w:rPr>
          <w:lang w:val="en-US"/>
        </w:rPr>
        <w:t>Mavik</w:t>
      </w:r>
      <w:r w:rsidRPr="00A40F64">
        <w:rPr>
          <w:lang w:val="uk-UA"/>
        </w:rPr>
        <w:t>» на суму 217,5 тис. грн)</w:t>
      </w:r>
      <w:r w:rsidRPr="00A40F64">
        <w:rPr>
          <w:color w:val="000000" w:themeColor="text1"/>
          <w:lang w:val="uk-UA"/>
        </w:rPr>
        <w:t>;</w:t>
      </w:r>
    </w:p>
    <w:p w:rsidR="005E5AB4" w:rsidRPr="00A40F64" w:rsidRDefault="005E5AB4" w:rsidP="005E5AB4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>Природоохоронні заходи  за рахунок цільових фондів – 3 426,1 тис. грн.</w:t>
      </w:r>
    </w:p>
    <w:p w:rsidR="005E5AB4" w:rsidRPr="00A40F64" w:rsidRDefault="005E5AB4" w:rsidP="005E5AB4">
      <w:pPr>
        <w:pStyle w:val="2"/>
        <w:spacing w:before="0"/>
        <w:jc w:val="center"/>
        <w:rPr>
          <w:sz w:val="24"/>
          <w:szCs w:val="24"/>
        </w:rPr>
      </w:pPr>
      <w:r w:rsidRPr="00A40F64">
        <w:rPr>
          <w:sz w:val="24"/>
          <w:szCs w:val="24"/>
        </w:rPr>
        <w:t>Перелі</w:t>
      </w:r>
      <w:proofErr w:type="gramStart"/>
      <w:r w:rsidRPr="00A40F64">
        <w:rPr>
          <w:sz w:val="24"/>
          <w:szCs w:val="24"/>
        </w:rPr>
        <w:t>к</w:t>
      </w:r>
      <w:proofErr w:type="gramEnd"/>
      <w:r w:rsidRPr="00A40F64">
        <w:rPr>
          <w:sz w:val="24"/>
          <w:szCs w:val="24"/>
        </w:rPr>
        <w:t xml:space="preserve"> об`єктів, що фінансувалися за рахунок коштів спеціального</w:t>
      </w:r>
    </w:p>
    <w:p w:rsidR="005E5AB4" w:rsidRPr="00A40F64" w:rsidRDefault="005E5AB4" w:rsidP="005E5AB4">
      <w:pPr>
        <w:jc w:val="center"/>
        <w:rPr>
          <w:b/>
          <w:lang w:val="uk-UA"/>
        </w:rPr>
      </w:pPr>
      <w:r w:rsidRPr="00A40F64">
        <w:rPr>
          <w:b/>
        </w:rPr>
        <w:t>фонду обласного бюджету</w:t>
      </w:r>
      <w:r w:rsidRPr="00A40F64">
        <w:rPr>
          <w:b/>
          <w:lang w:val="uk-UA"/>
        </w:rPr>
        <w:t xml:space="preserve"> на природоохоронні заходи</w:t>
      </w:r>
    </w:p>
    <w:p w:rsidR="005E5AB4" w:rsidRPr="00A40F64" w:rsidRDefault="005E5AB4" w:rsidP="005E5AB4">
      <w:pPr>
        <w:spacing w:line="276" w:lineRule="auto"/>
        <w:jc w:val="center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тис. грн.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528"/>
        <w:gridCol w:w="3827"/>
      </w:tblGrid>
      <w:tr w:rsidR="005E5AB4" w:rsidRPr="00A40F64" w:rsidTr="00510997">
        <w:trPr>
          <w:cantSplit/>
          <w:trHeight w:val="1105"/>
        </w:trPr>
        <w:tc>
          <w:tcPr>
            <w:tcW w:w="851" w:type="dxa"/>
            <w:vAlign w:val="center"/>
          </w:tcPr>
          <w:p w:rsidR="005E5AB4" w:rsidRPr="00A40F64" w:rsidRDefault="005E5AB4" w:rsidP="00510997">
            <w:pPr>
              <w:contextualSpacing/>
              <w:jc w:val="center"/>
              <w:rPr>
                <w:b/>
              </w:rPr>
            </w:pPr>
            <w:r w:rsidRPr="00A40F64">
              <w:rPr>
                <w:b/>
              </w:rPr>
              <w:lastRenderedPageBreak/>
              <w:t>№</w:t>
            </w:r>
          </w:p>
          <w:p w:rsidR="005E5AB4" w:rsidRPr="00A40F64" w:rsidRDefault="005E5AB4" w:rsidP="00510997">
            <w:pPr>
              <w:contextualSpacing/>
              <w:jc w:val="center"/>
              <w:rPr>
                <w:b/>
              </w:rPr>
            </w:pPr>
            <w:r w:rsidRPr="00A40F64">
              <w:rPr>
                <w:b/>
              </w:rPr>
              <w:t>з/</w:t>
            </w:r>
            <w:proofErr w:type="gramStart"/>
            <w:r w:rsidRPr="00A40F64">
              <w:rPr>
                <w:b/>
              </w:rPr>
              <w:t>п</w:t>
            </w:r>
            <w:proofErr w:type="gramEnd"/>
          </w:p>
        </w:tc>
        <w:tc>
          <w:tcPr>
            <w:tcW w:w="5528" w:type="dxa"/>
            <w:vAlign w:val="center"/>
          </w:tcPr>
          <w:p w:rsidR="005E5AB4" w:rsidRPr="00A40F64" w:rsidRDefault="005E5AB4" w:rsidP="00510997">
            <w:pPr>
              <w:ind w:firstLine="49"/>
              <w:contextualSpacing/>
              <w:rPr>
                <w:b/>
              </w:rPr>
            </w:pPr>
            <w:r w:rsidRPr="00A40F64">
              <w:rPr>
                <w:b/>
              </w:rPr>
              <w:t>Найменування об`єктів</w:t>
            </w:r>
            <w:proofErr w:type="gramStart"/>
            <w:r w:rsidRPr="00A40F64">
              <w:rPr>
                <w:b/>
              </w:rPr>
              <w:t>,з</w:t>
            </w:r>
            <w:proofErr w:type="gramEnd"/>
            <w:r w:rsidRPr="00A40F64">
              <w:rPr>
                <w:b/>
              </w:rPr>
              <w:t>аходів, робіт</w:t>
            </w:r>
          </w:p>
        </w:tc>
        <w:tc>
          <w:tcPr>
            <w:tcW w:w="3827" w:type="dxa"/>
            <w:vAlign w:val="center"/>
          </w:tcPr>
          <w:p w:rsidR="005E5AB4" w:rsidRPr="00A40F64" w:rsidRDefault="005E5AB4" w:rsidP="00510997">
            <w:pPr>
              <w:contextualSpacing/>
              <w:rPr>
                <w:b/>
                <w:lang w:val="uk-UA"/>
              </w:rPr>
            </w:pPr>
            <w:r w:rsidRPr="00A40F64">
              <w:rPr>
                <w:b/>
                <w:lang w:val="uk-UA"/>
              </w:rPr>
              <w:t xml:space="preserve">            Касові видатки</w:t>
            </w:r>
          </w:p>
        </w:tc>
      </w:tr>
      <w:tr w:rsidR="005E5AB4" w:rsidRPr="00A40F64" w:rsidTr="00510997">
        <w:trPr>
          <w:cantSplit/>
          <w:trHeight w:val="876"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1</w:t>
            </w:r>
          </w:p>
        </w:tc>
        <w:tc>
          <w:tcPr>
            <w:tcW w:w="5528" w:type="dxa"/>
          </w:tcPr>
          <w:p w:rsidR="005E5AB4" w:rsidRPr="00A40F64" w:rsidRDefault="005E5AB4" w:rsidP="00510997">
            <w:pPr>
              <w:contextualSpacing/>
              <w:jc w:val="both"/>
            </w:pPr>
            <w:r w:rsidRPr="00A40F64">
              <w:t>Нове будівництво берегозакріплюючих споруд на р</w:t>
            </w:r>
            <w:proofErr w:type="gramStart"/>
            <w:r w:rsidRPr="00A40F64">
              <w:t>.Ч</w:t>
            </w:r>
            <w:proofErr w:type="gramEnd"/>
            <w:r w:rsidRPr="00A40F64">
              <w:t>орний Черемош присілок Заріччя Верховинської селищної територіальної громади Івано-Франківської області</w:t>
            </w:r>
          </w:p>
        </w:tc>
        <w:tc>
          <w:tcPr>
            <w:tcW w:w="3827" w:type="dxa"/>
          </w:tcPr>
          <w:p w:rsidR="005E5AB4" w:rsidRPr="00A40F64" w:rsidRDefault="005E5AB4" w:rsidP="00510997">
            <w:pPr>
              <w:jc w:val="center"/>
              <w:rPr>
                <w:lang w:val="uk-UA"/>
              </w:rPr>
            </w:pPr>
            <w:r w:rsidRPr="00A40F64">
              <w:rPr>
                <w:lang w:val="uk-UA"/>
              </w:rPr>
              <w:t>3405,3</w:t>
            </w:r>
          </w:p>
        </w:tc>
      </w:tr>
      <w:tr w:rsidR="005E5AB4" w:rsidRPr="00A40F64" w:rsidTr="00510997">
        <w:trPr>
          <w:cantSplit/>
        </w:trPr>
        <w:tc>
          <w:tcPr>
            <w:tcW w:w="851" w:type="dxa"/>
          </w:tcPr>
          <w:p w:rsidR="005E5AB4" w:rsidRPr="00A40F64" w:rsidRDefault="005E5AB4" w:rsidP="00510997">
            <w:pPr>
              <w:contextualSpacing/>
              <w:jc w:val="center"/>
            </w:pPr>
            <w:r w:rsidRPr="00A40F64">
              <w:t>2</w:t>
            </w:r>
          </w:p>
        </w:tc>
        <w:tc>
          <w:tcPr>
            <w:tcW w:w="5528" w:type="dxa"/>
          </w:tcPr>
          <w:p w:rsidR="005E5AB4" w:rsidRPr="00A40F64" w:rsidRDefault="005E5AB4" w:rsidP="00510997">
            <w:pPr>
              <w:contextualSpacing/>
            </w:pPr>
            <w:r w:rsidRPr="00A40F64">
              <w:t>Будівництво каналізаційних мереж і споруд на них в с</w:t>
            </w:r>
            <w:proofErr w:type="gramStart"/>
            <w:r w:rsidRPr="00A40F64">
              <w:t>.К</w:t>
            </w:r>
            <w:proofErr w:type="gramEnd"/>
            <w:r w:rsidRPr="00A40F64">
              <w:t>расноїлля, присілок Долина Верховинського району Івано-Франківської області (коригування проектно-кошторисної документації)</w:t>
            </w:r>
          </w:p>
        </w:tc>
        <w:tc>
          <w:tcPr>
            <w:tcW w:w="3827" w:type="dxa"/>
          </w:tcPr>
          <w:p w:rsidR="005E5AB4" w:rsidRPr="00A40F64" w:rsidRDefault="005E5AB4" w:rsidP="00510997">
            <w:pPr>
              <w:contextualSpacing/>
              <w:jc w:val="center"/>
              <w:rPr>
                <w:lang w:val="uk-UA"/>
              </w:rPr>
            </w:pPr>
            <w:r w:rsidRPr="00A40F64">
              <w:rPr>
                <w:lang w:val="uk-UA"/>
              </w:rPr>
              <w:t>20,8</w:t>
            </w:r>
          </w:p>
        </w:tc>
      </w:tr>
    </w:tbl>
    <w:p w:rsidR="005E5AB4" w:rsidRPr="00A40F64" w:rsidRDefault="005E5AB4" w:rsidP="005E5AB4">
      <w:pPr>
        <w:spacing w:line="276" w:lineRule="auto"/>
        <w:jc w:val="both"/>
        <w:rPr>
          <w:color w:val="000000" w:themeColor="text1"/>
          <w:lang w:val="uk-UA"/>
        </w:rPr>
      </w:pPr>
    </w:p>
    <w:p w:rsidR="005E5AB4" w:rsidRPr="00524BD2" w:rsidRDefault="005E5AB4" w:rsidP="005E5AB4">
      <w:pPr>
        <w:pStyle w:val="a7"/>
        <w:numPr>
          <w:ilvl w:val="0"/>
          <w:numId w:val="12"/>
        </w:numPr>
        <w:spacing w:after="200" w:line="276" w:lineRule="auto"/>
        <w:ind w:left="0" w:firstLine="709"/>
        <w:jc w:val="both"/>
        <w:rPr>
          <w:shd w:val="clear" w:color="auto" w:fill="FFFFFF"/>
          <w:lang w:val="uk-UA"/>
        </w:rPr>
      </w:pPr>
      <w:r w:rsidRPr="00524BD2">
        <w:rPr>
          <w:shd w:val="clear" w:color="auto" w:fill="FFFFFF"/>
          <w:lang w:val="uk-UA"/>
        </w:rPr>
        <w:t>Заходи у сфері засобів масової інформації – 1</w:t>
      </w:r>
      <w:r w:rsidRPr="00A40F64">
        <w:rPr>
          <w:shd w:val="clear" w:color="auto" w:fill="FFFFFF"/>
        </w:rPr>
        <w:t> </w:t>
      </w:r>
      <w:r w:rsidRPr="00524BD2">
        <w:rPr>
          <w:shd w:val="clear" w:color="auto" w:fill="FFFFFF"/>
          <w:lang w:val="uk-UA"/>
        </w:rPr>
        <w:t xml:space="preserve">390,0 тис. грн на виконання заходів  Програми </w:t>
      </w:r>
      <w:r w:rsidRPr="00524BD2">
        <w:rPr>
          <w:lang w:val="uk-UA"/>
        </w:rPr>
        <w:t>підтримки засобів масової інформації Верховинської селищної ради на 2023 рік (Верховинське комунальне радіо "Гуцульська столиця "Верховинської селищної ради  - 1</w:t>
      </w:r>
      <w:r w:rsidRPr="00A40F64">
        <w:t> </w:t>
      </w:r>
      <w:r w:rsidRPr="00524BD2">
        <w:rPr>
          <w:lang w:val="uk-UA"/>
        </w:rPr>
        <w:t>285,0 тис. грн , редакція журналу (видавництва) "Гуцульщина" – 100,0 тис. грн, випуск журналу «Гуцульщина» (Всеукраїнське Товариство «Гуцульщина») - 5,0 тис. грн);</w:t>
      </w:r>
    </w:p>
    <w:p w:rsidR="005E5AB4" w:rsidRPr="00A40F64" w:rsidRDefault="005E5AB4" w:rsidP="005E5AB4">
      <w:pPr>
        <w:pStyle w:val="a7"/>
        <w:ind w:left="0" w:firstLine="426"/>
        <w:jc w:val="both"/>
        <w:rPr>
          <w:color w:val="FF0000"/>
          <w:shd w:val="clear" w:color="auto" w:fill="FFFFFF"/>
        </w:rPr>
      </w:pPr>
      <w:r w:rsidRPr="00524BD2">
        <w:rPr>
          <w:color w:val="FF0000"/>
          <w:shd w:val="clear" w:color="auto" w:fill="FFFFFF"/>
          <w:lang w:val="uk-UA"/>
        </w:rPr>
        <w:t xml:space="preserve">     </w:t>
      </w:r>
      <w:r w:rsidRPr="00524BD2">
        <w:rPr>
          <w:color w:val="FF0000"/>
          <w:lang w:val="uk-UA"/>
        </w:rPr>
        <w:t xml:space="preserve"> </w:t>
      </w:r>
      <w:r w:rsidRPr="00A40F64">
        <w:rPr>
          <w:color w:val="000000" w:themeColor="text1"/>
          <w:shd w:val="clear" w:color="auto" w:fill="FFFFFF"/>
        </w:rPr>
        <w:t xml:space="preserve">У порівнянні з  2022 роком видатки на </w:t>
      </w:r>
      <w:r w:rsidRPr="00A40F64">
        <w:rPr>
          <w:color w:val="000000" w:themeColor="text1"/>
        </w:rPr>
        <w:t>іншу діяльність у 2023 році по загальному фонду зменшились на 441,6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рн, а по спеціальному фонду збільшились на 4 426,9 тис. грн, оскільки у 2022 році не здійснювались видатки на природоохоронні заходи за рахунок цільових фондів</w:t>
      </w:r>
      <w:r w:rsidRPr="00A40F64">
        <w:rPr>
          <w:color w:val="FF0000"/>
          <w:shd w:val="clear" w:color="auto" w:fill="FFFFFF"/>
        </w:rPr>
        <w:t xml:space="preserve">. </w:t>
      </w:r>
    </w:p>
    <w:p w:rsidR="005E5AB4" w:rsidRPr="00A40F64" w:rsidRDefault="005E5AB4" w:rsidP="005E5AB4">
      <w:pPr>
        <w:pStyle w:val="a7"/>
        <w:ind w:left="0" w:firstLine="709"/>
        <w:jc w:val="center"/>
        <w:rPr>
          <w:b/>
          <w:color w:val="FF0000"/>
          <w:shd w:val="clear" w:color="auto" w:fill="FFFFFF"/>
        </w:rPr>
      </w:pPr>
    </w:p>
    <w:p w:rsidR="005E5AB4" w:rsidRPr="00A40F64" w:rsidRDefault="005E5AB4" w:rsidP="005E5AB4">
      <w:pPr>
        <w:pStyle w:val="a7"/>
        <w:ind w:left="0" w:firstLine="709"/>
        <w:jc w:val="center"/>
        <w:rPr>
          <w:b/>
          <w:color w:val="000000" w:themeColor="text1"/>
          <w:shd w:val="clear" w:color="auto" w:fill="FFFFFF"/>
        </w:rPr>
      </w:pPr>
      <w:r w:rsidRPr="00A40F64">
        <w:rPr>
          <w:b/>
          <w:color w:val="000000" w:themeColor="text1"/>
          <w:shd w:val="clear" w:color="auto" w:fill="FFFFFF"/>
        </w:rPr>
        <w:t>Резервний фонд</w:t>
      </w:r>
    </w:p>
    <w:p w:rsidR="005E5AB4" w:rsidRPr="00A40F64" w:rsidRDefault="005E5AB4" w:rsidP="005E5AB4">
      <w:pPr>
        <w:pStyle w:val="a7"/>
        <w:ind w:left="0" w:firstLine="709"/>
        <w:jc w:val="center"/>
        <w:rPr>
          <w:b/>
          <w:color w:val="000000" w:themeColor="text1"/>
          <w:shd w:val="clear" w:color="auto" w:fill="FFFFFF"/>
        </w:rPr>
      </w:pPr>
    </w:p>
    <w:p w:rsidR="005E5AB4" w:rsidRPr="00A40F64" w:rsidRDefault="005E5AB4" w:rsidP="005E5AB4">
      <w:pPr>
        <w:pStyle w:val="a7"/>
        <w:ind w:left="0" w:firstLine="709"/>
        <w:jc w:val="both"/>
        <w:rPr>
          <w:color w:val="000000" w:themeColor="text1"/>
        </w:rPr>
      </w:pPr>
      <w:r w:rsidRPr="00A40F64">
        <w:rPr>
          <w:color w:val="000000" w:themeColor="text1"/>
        </w:rPr>
        <w:t>Плановий обсяг резервного фонду бюджету Верховинської селищної територіальної громади в сумі 161,0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 xml:space="preserve">рн передбачений для здійснення  видатків, що не мають  постійного  характеру, а саме заходів по усуненню наслідків стихійного лиха, надзвичайних ситуацій, та інших непередбачених видатків, відповідно до статті 24 Бюджетного кодексу України. </w:t>
      </w:r>
    </w:p>
    <w:p w:rsidR="005E5AB4" w:rsidRPr="00A40F64" w:rsidRDefault="005E5AB4" w:rsidP="005E5AB4">
      <w:pPr>
        <w:pStyle w:val="a7"/>
        <w:ind w:left="0" w:firstLine="709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Касові видатки по резервному фонду за 2023 </w:t>
      </w:r>
      <w:proofErr w:type="gramStart"/>
      <w:r w:rsidRPr="00A40F64">
        <w:rPr>
          <w:color w:val="000000" w:themeColor="text1"/>
        </w:rPr>
        <w:t>р</w:t>
      </w:r>
      <w:proofErr w:type="gramEnd"/>
      <w:r w:rsidRPr="00A40F64">
        <w:rPr>
          <w:color w:val="000000" w:themeColor="text1"/>
        </w:rPr>
        <w:t>ік складають 112,5 тис. грн.</w:t>
      </w:r>
    </w:p>
    <w:p w:rsidR="005E5AB4" w:rsidRPr="00A40F64" w:rsidRDefault="005E5AB4" w:rsidP="005E5AB4">
      <w:pPr>
        <w:pStyle w:val="a7"/>
        <w:ind w:left="0" w:firstLine="709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Протягом 2023 року кошти спрямовувались </w:t>
      </w:r>
      <w:proofErr w:type="gramStart"/>
      <w:r w:rsidRPr="00A40F64">
        <w:rPr>
          <w:color w:val="000000" w:themeColor="text1"/>
        </w:rPr>
        <w:t>на</w:t>
      </w:r>
      <w:proofErr w:type="gramEnd"/>
      <w:r w:rsidRPr="00A40F64">
        <w:rPr>
          <w:color w:val="000000" w:themeColor="text1"/>
        </w:rPr>
        <w:t>:</w:t>
      </w:r>
    </w:p>
    <w:p w:rsidR="005E5AB4" w:rsidRPr="00A40F64" w:rsidRDefault="005E5AB4" w:rsidP="005E5AB4">
      <w:pPr>
        <w:pStyle w:val="a7"/>
        <w:numPr>
          <w:ilvl w:val="0"/>
          <w:numId w:val="39"/>
        </w:numPr>
        <w:ind w:left="0" w:firstLine="709"/>
        <w:jc w:val="both"/>
      </w:pPr>
      <w:r w:rsidRPr="00A40F64">
        <w:t>надання д</w:t>
      </w:r>
      <w:r w:rsidRPr="00A40F64">
        <w:rPr>
          <w:shd w:val="clear" w:color="auto" w:fill="FFFFFF"/>
        </w:rPr>
        <w:t>опомоги населенню та суб’єктам господарювання, що постраждали внаслідок надзвичайної ситуації або стихійного лиха в сумі 55,0 тис</w:t>
      </w:r>
      <w:proofErr w:type="gramStart"/>
      <w:r w:rsidRPr="00A40F64">
        <w:rPr>
          <w:shd w:val="clear" w:color="auto" w:fill="FFFFFF"/>
        </w:rPr>
        <w:t>.</w:t>
      </w:r>
      <w:proofErr w:type="gramEnd"/>
      <w:r w:rsidRPr="00A40F64">
        <w:rPr>
          <w:shd w:val="clear" w:color="auto" w:fill="FFFFFF"/>
        </w:rPr>
        <w:t xml:space="preserve"> </w:t>
      </w:r>
      <w:proofErr w:type="gramStart"/>
      <w:r w:rsidRPr="00A40F64">
        <w:rPr>
          <w:shd w:val="clear" w:color="auto" w:fill="FFFFFF"/>
        </w:rPr>
        <w:t>г</w:t>
      </w:r>
      <w:proofErr w:type="gramEnd"/>
      <w:r w:rsidRPr="00A40F64">
        <w:rPr>
          <w:shd w:val="clear" w:color="auto" w:fill="FFFFFF"/>
        </w:rPr>
        <w:t>рн, а саме для виділення допомоги згідно розпоряджень селищної ради :</w:t>
      </w:r>
      <w:r w:rsidRPr="00A40F64">
        <w:t xml:space="preserve"> 5,0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для Бабенко Л.В., 5,0 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для Іванійчук Л.В., 10,0  </w:t>
      </w:r>
      <w:r w:rsidRPr="00A40F64">
        <w:rPr>
          <w:shd w:val="clear" w:color="auto" w:fill="FFFFFF"/>
        </w:rPr>
        <w:t xml:space="preserve">тис. грн </w:t>
      </w:r>
      <w:r w:rsidRPr="00A40F64">
        <w:t>для Ілюк М.Д.</w:t>
      </w:r>
      <w:r w:rsidRPr="00A40F64">
        <w:rPr>
          <w:shd w:val="clear" w:color="auto" w:fill="FFFFFF"/>
        </w:rPr>
        <w:t xml:space="preserve">, </w:t>
      </w:r>
      <w:r w:rsidRPr="00A40F64">
        <w:t xml:space="preserve">5,0 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 для  Марійчук В.І., 10,0 </w:t>
      </w:r>
      <w:r w:rsidRPr="00A40F64">
        <w:rPr>
          <w:shd w:val="clear" w:color="auto" w:fill="FFFFFF"/>
        </w:rPr>
        <w:t xml:space="preserve">тис. грн  </w:t>
      </w:r>
      <w:r w:rsidRPr="00A40F64">
        <w:t xml:space="preserve">для Додюк В.В., 3,0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 для Сумарук І.М., 5,0  </w:t>
      </w:r>
      <w:r w:rsidRPr="00A40F64">
        <w:rPr>
          <w:shd w:val="clear" w:color="auto" w:fill="FFFFFF"/>
        </w:rPr>
        <w:t>тис</w:t>
      </w:r>
      <w:proofErr w:type="gramStart"/>
      <w:r w:rsidRPr="00A40F64">
        <w:rPr>
          <w:shd w:val="clear" w:color="auto" w:fill="FFFFFF"/>
        </w:rPr>
        <w:t>.</w:t>
      </w:r>
      <w:proofErr w:type="gramEnd"/>
      <w:r w:rsidRPr="00A40F64">
        <w:rPr>
          <w:shd w:val="clear" w:color="auto" w:fill="FFFFFF"/>
        </w:rPr>
        <w:t xml:space="preserve"> </w:t>
      </w:r>
      <w:proofErr w:type="gramStart"/>
      <w:r w:rsidRPr="00A40F64">
        <w:rPr>
          <w:shd w:val="clear" w:color="auto" w:fill="FFFFFF"/>
        </w:rPr>
        <w:t>г</w:t>
      </w:r>
      <w:proofErr w:type="gramEnd"/>
      <w:r w:rsidRPr="00A40F64">
        <w:rPr>
          <w:shd w:val="clear" w:color="auto" w:fill="FFFFFF"/>
        </w:rPr>
        <w:t>рн</w:t>
      </w:r>
      <w:r w:rsidRPr="00A40F64">
        <w:t xml:space="preserve"> для Костюку В.В., 2,0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 для Гаврищук О.В., 10,0   </w:t>
      </w:r>
      <w:r w:rsidRPr="00A40F64">
        <w:rPr>
          <w:shd w:val="clear" w:color="auto" w:fill="FFFFFF"/>
        </w:rPr>
        <w:t xml:space="preserve">тис. грн </w:t>
      </w:r>
      <w:r w:rsidRPr="00A40F64">
        <w:t xml:space="preserve"> для Пирчук П.Д.</w:t>
      </w:r>
      <w:r w:rsidRPr="00A40F64">
        <w:rPr>
          <w:shd w:val="clear" w:color="auto" w:fill="FFFFFF"/>
        </w:rPr>
        <w:t xml:space="preserve">  </w:t>
      </w:r>
    </w:p>
    <w:p w:rsidR="005E5AB4" w:rsidRPr="00A40F64" w:rsidRDefault="005E5AB4" w:rsidP="005E5AB4">
      <w:pPr>
        <w:pStyle w:val="a7"/>
        <w:numPr>
          <w:ilvl w:val="0"/>
          <w:numId w:val="39"/>
        </w:numPr>
        <w:ind w:left="0" w:firstLine="709"/>
        <w:jc w:val="both"/>
        <w:rPr>
          <w:color w:val="000000" w:themeColor="text1"/>
        </w:rPr>
      </w:pPr>
      <w:r w:rsidRPr="00A40F64">
        <w:rPr>
          <w:shd w:val="clear" w:color="auto" w:fill="FFFFFF"/>
        </w:rPr>
        <w:t xml:space="preserve"> інші заходи за рахунок коштів резервного фонду місцевого бюджету – 57,5 тис. грн. н</w:t>
      </w:r>
      <w:r w:rsidRPr="00A40F64">
        <w:t>а виконання заходів «</w:t>
      </w:r>
      <w:proofErr w:type="gramStart"/>
      <w:r w:rsidRPr="00A40F64">
        <w:t>Ц</w:t>
      </w:r>
      <w:proofErr w:type="gramEnd"/>
      <w:r w:rsidRPr="00A40F64">
        <w:t>ільової програми створення, поновлення та використання місцевого матеріального резерву</w:t>
      </w:r>
      <w:r w:rsidRPr="00A40F64">
        <w:rPr>
          <w:color w:val="000000" w:themeColor="text1"/>
        </w:rPr>
        <w:t xml:space="preserve">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ради».</w:t>
      </w:r>
    </w:p>
    <w:p w:rsidR="005E5AB4" w:rsidRPr="00A40F64" w:rsidRDefault="005E5AB4" w:rsidP="005E5AB4">
      <w:pPr>
        <w:pStyle w:val="a7"/>
        <w:rPr>
          <w:color w:val="000000" w:themeColor="text1"/>
          <w:shd w:val="clear" w:color="auto" w:fill="FFFFFF"/>
        </w:rPr>
      </w:pPr>
      <w:r w:rsidRPr="00A40F64">
        <w:rPr>
          <w:color w:val="000000" w:themeColor="text1"/>
          <w:shd w:val="clear" w:color="auto" w:fill="FFFFFF"/>
        </w:rPr>
        <w:t xml:space="preserve">                                      </w:t>
      </w:r>
    </w:p>
    <w:p w:rsidR="005E5AB4" w:rsidRPr="00A40F64" w:rsidRDefault="005E5AB4" w:rsidP="005E5AB4">
      <w:pPr>
        <w:pStyle w:val="a7"/>
        <w:rPr>
          <w:color w:val="000000" w:themeColor="text1"/>
          <w:shd w:val="clear" w:color="auto" w:fill="FFFFFF"/>
        </w:rPr>
      </w:pPr>
      <w:r w:rsidRPr="00A40F64">
        <w:rPr>
          <w:color w:val="000000" w:themeColor="text1"/>
          <w:shd w:val="clear" w:color="auto" w:fill="FFFFFF"/>
        </w:rPr>
        <w:t xml:space="preserve">                                             </w:t>
      </w:r>
      <w:proofErr w:type="gramStart"/>
      <w:r w:rsidRPr="00A40F64">
        <w:rPr>
          <w:b/>
          <w:color w:val="000000"/>
          <w:shd w:val="clear" w:color="auto" w:fill="FFFFFF"/>
        </w:rPr>
        <w:t>Ц</w:t>
      </w:r>
      <w:proofErr w:type="gramEnd"/>
      <w:r w:rsidRPr="00A40F64">
        <w:rPr>
          <w:b/>
          <w:color w:val="000000"/>
          <w:shd w:val="clear" w:color="auto" w:fill="FFFFFF"/>
        </w:rPr>
        <w:t>ільовий фонд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Верховинською селищною  радою  в 2021 році  рішенням селищної  ради від 17.06.2021р.№125-7/2021 було створено </w:t>
      </w:r>
      <w:r w:rsidRPr="00A40F64">
        <w:rPr>
          <w:b/>
          <w:color w:val="000000" w:themeColor="text1"/>
          <w:lang w:val="uk-UA"/>
        </w:rPr>
        <w:t>цільовий фонд</w:t>
      </w:r>
      <w:r w:rsidRPr="00A40F64">
        <w:rPr>
          <w:color w:val="000000" w:themeColor="text1"/>
          <w:lang w:val="uk-UA"/>
        </w:rPr>
        <w:t xml:space="preserve"> та затверджено  Положення, де  вказано основне  завдання  цільового фонду - фінансування  заходів, спрямованих на вирішення питань в інтересах територіальної громади.  Цільовий фонд формується за рахунок:  благодійних внесків, цільових внесків та інших надходжень. 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В 2023 році касові видатки з цільового фонду бюджету селищної територіальної громади складають 149,3 тис. грн, а саме: 49,8 тис. грн на виконання заходів по програмі  розвитку туризму Верховинської селищної ради на 2021-2023 роки (встановлення огорожі </w:t>
      </w:r>
      <w:r w:rsidRPr="00A40F64">
        <w:rPr>
          <w:color w:val="000000" w:themeColor="text1"/>
          <w:lang w:val="uk-UA"/>
        </w:rPr>
        <w:lastRenderedPageBreak/>
        <w:t>рекреаційної зони в с. Буковець) та 99,5 тис. грн. на виконання заходів по програмі «Підтримки Збройних сил України» (придбання квадрокоптера «</w:t>
      </w:r>
      <w:r w:rsidRPr="00A40F64">
        <w:rPr>
          <w:color w:val="000000" w:themeColor="text1"/>
          <w:lang w:val="en-US"/>
        </w:rPr>
        <w:t>Mavik</w:t>
      </w:r>
      <w:r w:rsidRPr="00A40F64">
        <w:rPr>
          <w:color w:val="000000" w:themeColor="text1"/>
          <w:lang w:val="uk-UA"/>
        </w:rPr>
        <w:t>»).</w:t>
      </w:r>
    </w:p>
    <w:p w:rsidR="005E5AB4" w:rsidRPr="00524BD2" w:rsidRDefault="005E5AB4" w:rsidP="005E5AB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</w:p>
    <w:p w:rsidR="005E5AB4" w:rsidRPr="00A40F64" w:rsidRDefault="005E5AB4" w:rsidP="005E5AB4">
      <w:pPr>
        <w:jc w:val="center"/>
        <w:rPr>
          <w:b/>
          <w:color w:val="000000" w:themeColor="text1"/>
          <w:lang w:val="uk-UA"/>
        </w:rPr>
      </w:pPr>
      <w:r w:rsidRPr="00A40F64">
        <w:rPr>
          <w:b/>
          <w:color w:val="000000" w:themeColor="text1"/>
          <w:lang w:val="uk-UA"/>
        </w:rPr>
        <w:t>Кредитування</w:t>
      </w:r>
    </w:p>
    <w:p w:rsidR="005E5AB4" w:rsidRPr="00A40F64" w:rsidRDefault="005E5AB4" w:rsidP="005E5AB4">
      <w:pPr>
        <w:ind w:right="84" w:firstLine="720"/>
        <w:jc w:val="both"/>
        <w:rPr>
          <w:b/>
          <w:i/>
          <w:color w:val="000000" w:themeColor="text1"/>
        </w:rPr>
      </w:pPr>
      <w:r w:rsidRPr="00A40F64">
        <w:rPr>
          <w:color w:val="000000" w:themeColor="text1"/>
        </w:rPr>
        <w:t>В 202</w:t>
      </w:r>
      <w:r w:rsidRPr="00A40F64">
        <w:rPr>
          <w:color w:val="000000" w:themeColor="text1"/>
          <w:lang w:val="uk-UA"/>
        </w:rPr>
        <w:t>3</w:t>
      </w:r>
      <w:r w:rsidRPr="00A40F64">
        <w:rPr>
          <w:color w:val="000000" w:themeColor="text1"/>
        </w:rPr>
        <w:t xml:space="preserve"> році по загальному та </w:t>
      </w:r>
      <w:proofErr w:type="gramStart"/>
      <w:r w:rsidRPr="00A40F64">
        <w:rPr>
          <w:color w:val="000000" w:themeColor="text1"/>
        </w:rPr>
        <w:t>спец</w:t>
      </w:r>
      <w:proofErr w:type="gramEnd"/>
      <w:r w:rsidRPr="00A40F64">
        <w:rPr>
          <w:color w:val="000000" w:themeColor="text1"/>
        </w:rPr>
        <w:t>іальному фонд</w:t>
      </w:r>
      <w:r w:rsidRPr="00A40F64">
        <w:rPr>
          <w:color w:val="000000" w:themeColor="text1"/>
          <w:lang w:val="uk-UA"/>
        </w:rPr>
        <w:t>ах</w:t>
      </w:r>
      <w:r w:rsidRPr="00A40F64">
        <w:rPr>
          <w:color w:val="000000" w:themeColor="text1"/>
        </w:rPr>
        <w:t xml:space="preserve"> на кредитування кошти не виділялись.</w:t>
      </w:r>
    </w:p>
    <w:p w:rsidR="005E5AB4" w:rsidRPr="00A40F64" w:rsidRDefault="005E5AB4" w:rsidP="005E5AB4">
      <w:pPr>
        <w:ind w:firstLine="720"/>
        <w:jc w:val="both"/>
        <w:rPr>
          <w:color w:val="000000" w:themeColor="text1"/>
        </w:rPr>
      </w:pPr>
      <w:r w:rsidRPr="00A40F64">
        <w:rPr>
          <w:color w:val="000000" w:themeColor="text1"/>
        </w:rPr>
        <w:t>Тимчасово   вільні  залишки  коштів  селищного  бюджету  на  вкладні (депозитні)  рахунки  в  установах  банкі</w:t>
      </w:r>
      <w:proofErr w:type="gramStart"/>
      <w:r w:rsidRPr="00A40F64">
        <w:rPr>
          <w:color w:val="000000" w:themeColor="text1"/>
        </w:rPr>
        <w:t>в</w:t>
      </w:r>
      <w:proofErr w:type="gramEnd"/>
      <w:r w:rsidRPr="00A40F64">
        <w:rPr>
          <w:color w:val="000000" w:themeColor="text1"/>
        </w:rPr>
        <w:t xml:space="preserve">  не  розміщувалися.</w:t>
      </w:r>
    </w:p>
    <w:p w:rsidR="005E5AB4" w:rsidRPr="00A40F64" w:rsidRDefault="005E5AB4" w:rsidP="005E5AB4">
      <w:pPr>
        <w:ind w:left="720"/>
        <w:jc w:val="center"/>
        <w:rPr>
          <w:b/>
          <w:bCs/>
          <w:color w:val="000000" w:themeColor="text1"/>
          <w:lang w:val="uk-UA"/>
        </w:rPr>
      </w:pPr>
    </w:p>
    <w:p w:rsidR="005E5AB4" w:rsidRPr="00A40F64" w:rsidRDefault="005E5AB4" w:rsidP="005E5AB4">
      <w:pPr>
        <w:pStyle w:val="a7"/>
        <w:ind w:left="360" w:firstLine="851"/>
        <w:jc w:val="center"/>
        <w:rPr>
          <w:b/>
          <w:color w:val="000000" w:themeColor="text1"/>
          <w:shd w:val="clear" w:color="auto" w:fill="FFFFFF"/>
        </w:rPr>
      </w:pPr>
      <w:r w:rsidRPr="00A40F64">
        <w:rPr>
          <w:b/>
          <w:color w:val="000000" w:themeColor="text1"/>
          <w:shd w:val="clear" w:color="auto" w:fill="FFFFFF"/>
        </w:rPr>
        <w:t>Міжбюджетні трансферти (9000)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Видатки на міжбюджетні трансферти </w:t>
      </w:r>
      <w:r w:rsidRPr="00A40F64">
        <w:rPr>
          <w:color w:val="000000" w:themeColor="text1"/>
          <w:lang w:val="uk-UA"/>
        </w:rPr>
        <w:t xml:space="preserve">за 2023 </w:t>
      </w:r>
      <w:proofErr w:type="gramStart"/>
      <w:r w:rsidRPr="00A40F64">
        <w:rPr>
          <w:color w:val="000000" w:themeColor="text1"/>
          <w:lang w:val="uk-UA"/>
        </w:rPr>
        <w:t>р</w:t>
      </w:r>
      <w:proofErr w:type="gramEnd"/>
      <w:r w:rsidRPr="00A40F64">
        <w:rPr>
          <w:color w:val="000000" w:themeColor="text1"/>
          <w:lang w:val="uk-UA"/>
        </w:rPr>
        <w:t xml:space="preserve">ік </w:t>
      </w:r>
      <w:r w:rsidRPr="00A40F64">
        <w:rPr>
          <w:color w:val="000000" w:themeColor="text1"/>
        </w:rPr>
        <w:t>склали в сумі</w:t>
      </w:r>
      <w:r w:rsidRPr="00A40F64">
        <w:rPr>
          <w:color w:val="000000" w:themeColor="text1"/>
          <w:lang w:val="uk-UA"/>
        </w:rPr>
        <w:t xml:space="preserve"> 3 407,0 тис. грн, в тому числі: по загальному фонду 3 345,0 тис. грн, по спеціальному фонду 62,0 тис. грн.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</w:rPr>
      </w:pPr>
      <w:r w:rsidRPr="00A40F64">
        <w:rPr>
          <w:color w:val="000000" w:themeColor="text1"/>
          <w:lang w:val="uk-UA"/>
        </w:rPr>
        <w:t xml:space="preserve"> </w:t>
      </w:r>
      <w:r w:rsidRPr="00A40F64">
        <w:rPr>
          <w:color w:val="000000" w:themeColor="text1"/>
        </w:rPr>
        <w:t xml:space="preserve">Асигнування </w:t>
      </w:r>
      <w:r w:rsidRPr="00A40F64">
        <w:rPr>
          <w:b/>
          <w:color w:val="000000" w:themeColor="text1"/>
          <w:lang w:val="uk-UA"/>
        </w:rPr>
        <w:t>загального фонду</w:t>
      </w:r>
      <w:r w:rsidRPr="00A40F64">
        <w:rPr>
          <w:color w:val="000000" w:themeColor="text1"/>
          <w:lang w:val="uk-UA"/>
        </w:rPr>
        <w:t xml:space="preserve"> </w:t>
      </w:r>
      <w:r w:rsidRPr="00A40F64">
        <w:rPr>
          <w:color w:val="000000" w:themeColor="text1"/>
        </w:rPr>
        <w:t xml:space="preserve">використані </w:t>
      </w:r>
      <w:proofErr w:type="gramStart"/>
      <w:r w:rsidRPr="00A40F64">
        <w:rPr>
          <w:color w:val="000000" w:themeColor="text1"/>
        </w:rPr>
        <w:t>для</w:t>
      </w:r>
      <w:proofErr w:type="gramEnd"/>
      <w:r w:rsidRPr="00A40F64">
        <w:rPr>
          <w:color w:val="000000" w:themeColor="text1"/>
        </w:rPr>
        <w:t xml:space="preserve"> реалізації бюджетних програм у сфері </w:t>
      </w:r>
      <w:r w:rsidRPr="00A40F64">
        <w:rPr>
          <w:color w:val="000000" w:themeColor="text1"/>
          <w:lang w:val="uk-UA"/>
        </w:rPr>
        <w:t xml:space="preserve"> </w:t>
      </w:r>
      <w:r w:rsidRPr="00A40F64">
        <w:rPr>
          <w:color w:val="000000" w:themeColor="text1"/>
        </w:rPr>
        <w:t>міжбюджетних трансфертів, а саме:</w:t>
      </w:r>
    </w:p>
    <w:p w:rsidR="005E5AB4" w:rsidRPr="00A40F64" w:rsidRDefault="005E5AB4" w:rsidP="005E5AB4">
      <w:pPr>
        <w:numPr>
          <w:ilvl w:val="0"/>
          <w:numId w:val="40"/>
        </w:numPr>
        <w:ind w:left="0"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shd w:val="clear" w:color="auto" w:fill="FFFFFF"/>
          <w:lang w:val="uk-UA"/>
        </w:rPr>
        <w:t>С</w:t>
      </w:r>
      <w:r w:rsidRPr="00A40F64">
        <w:rPr>
          <w:color w:val="000000" w:themeColor="text1"/>
          <w:shd w:val="clear" w:color="auto" w:fill="FFFFFF"/>
        </w:rPr>
        <w:t>убвенці</w:t>
      </w:r>
      <w:r w:rsidRPr="00A40F64">
        <w:rPr>
          <w:color w:val="000000" w:themeColor="text1"/>
          <w:shd w:val="clear" w:color="auto" w:fill="FFFFFF"/>
          <w:lang w:val="uk-UA"/>
        </w:rPr>
        <w:t>я</w:t>
      </w:r>
      <w:r w:rsidRPr="00A40F64">
        <w:rPr>
          <w:color w:val="000000" w:themeColor="text1"/>
          <w:shd w:val="clear" w:color="auto" w:fill="FFFFFF"/>
        </w:rPr>
        <w:t xml:space="preserve"> з місцевого бюджету державному бюджету на виконання програм соціально-економічного розвитку регіонів</w:t>
      </w:r>
      <w:r w:rsidRPr="00A40F64">
        <w:rPr>
          <w:color w:val="000000" w:themeColor="text1"/>
          <w:shd w:val="clear" w:color="auto" w:fill="FFFFFF"/>
          <w:lang w:val="uk-UA"/>
        </w:rPr>
        <w:t xml:space="preserve"> – 975,0 тис. грн, в тому числі: </w:t>
      </w:r>
    </w:p>
    <w:p w:rsidR="005E5AB4" w:rsidRPr="00A40F64" w:rsidRDefault="005E5AB4" w:rsidP="005E5AB4">
      <w:pPr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shd w:val="clear" w:color="auto" w:fill="FFFFFF"/>
          <w:lang w:val="uk-UA"/>
        </w:rPr>
        <w:t xml:space="preserve">          - на виконання заходів </w:t>
      </w:r>
      <w:r w:rsidRPr="00A40F64">
        <w:rPr>
          <w:color w:val="000000" w:themeColor="text1"/>
        </w:rPr>
        <w:t xml:space="preserve"> </w:t>
      </w:r>
      <w:r w:rsidRPr="00A40F64">
        <w:rPr>
          <w:color w:val="000000" w:themeColor="text1"/>
          <w:lang w:val="uk-UA" w:eastAsia="uk-UA"/>
        </w:rPr>
        <w:t xml:space="preserve">цільової програми сприяння обороноздатності України на 2023 рік </w:t>
      </w:r>
      <w:r w:rsidRPr="00A40F64">
        <w:rPr>
          <w:color w:val="000000" w:themeColor="text1"/>
        </w:rPr>
        <w:t xml:space="preserve">- </w:t>
      </w:r>
      <w:r w:rsidRPr="00A40F64">
        <w:rPr>
          <w:color w:val="000000" w:themeColor="text1"/>
          <w:lang w:val="uk-UA"/>
        </w:rPr>
        <w:t>132,0 тис. грн;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- на </w:t>
      </w:r>
      <w:r w:rsidRPr="00A40F64">
        <w:rPr>
          <w:color w:val="000000" w:themeColor="text1"/>
          <w:shd w:val="clear" w:color="auto" w:fill="FFFFFF"/>
          <w:lang w:val="uk-UA"/>
        </w:rPr>
        <w:t xml:space="preserve">виконання заходів </w:t>
      </w:r>
      <w:r w:rsidRPr="00A40F64">
        <w:rPr>
          <w:color w:val="000000" w:themeColor="text1"/>
          <w:lang w:val="uk-UA"/>
        </w:rPr>
        <w:t xml:space="preserve"> програми запобігання виникнення надзвичайних ситуацій та підвищення рівня готовності аварійно-рятувальної служби селища Верховина до дій за призначенням на 2023 рік – 93,0 тис. грн;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- на </w:t>
      </w:r>
      <w:r w:rsidRPr="00A40F64">
        <w:rPr>
          <w:color w:val="000000" w:themeColor="text1"/>
          <w:shd w:val="clear" w:color="auto" w:fill="FFFFFF"/>
          <w:lang w:val="uk-UA"/>
        </w:rPr>
        <w:t>виконання заходів к</w:t>
      </w:r>
      <w:r w:rsidRPr="00A40F64">
        <w:t>омплексн</w:t>
      </w:r>
      <w:r w:rsidRPr="00A40F64">
        <w:rPr>
          <w:lang w:val="uk-UA"/>
        </w:rPr>
        <w:t>ої</w:t>
      </w:r>
      <w:r w:rsidRPr="00A40F64">
        <w:t xml:space="preserve"> програм</w:t>
      </w:r>
      <w:r w:rsidRPr="00A40F64">
        <w:rPr>
          <w:lang w:val="uk-UA"/>
        </w:rPr>
        <w:t>и</w:t>
      </w:r>
      <w:r w:rsidRPr="00A40F64">
        <w:t xml:space="preserve"> забезпечення правопорядку, боротьби із злочинністю та корупцією, захисту прав і свобод громадян на 2023 рік</w:t>
      </w:r>
      <w:r w:rsidRPr="00A40F64">
        <w:rPr>
          <w:color w:val="000000" w:themeColor="text1"/>
          <w:lang w:val="uk-UA"/>
        </w:rPr>
        <w:t xml:space="preserve"> – 600,0 тис. грн; 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  <w:lang w:val="uk-UA"/>
        </w:rPr>
        <w:t xml:space="preserve">- на </w:t>
      </w:r>
      <w:r w:rsidRPr="00A40F64">
        <w:rPr>
          <w:color w:val="000000" w:themeColor="text1"/>
          <w:shd w:val="clear" w:color="auto" w:fill="FFFFFF"/>
          <w:lang w:val="uk-UA"/>
        </w:rPr>
        <w:t>виконання заходів програми підвищення ефективності  роботи Верховинського відділу державної реєстрації актів цивільного стану щодо надання послуг населенню на території Верховинської селищної ради</w:t>
      </w:r>
      <w:r w:rsidRPr="00A40F64">
        <w:rPr>
          <w:color w:val="000000" w:themeColor="text1"/>
          <w:lang w:val="uk-UA"/>
        </w:rPr>
        <w:t xml:space="preserve"> на 2023 рік – 50,0 тис. грн;</w:t>
      </w:r>
    </w:p>
    <w:p w:rsidR="005E5AB4" w:rsidRPr="00A40F64" w:rsidRDefault="005E5AB4" w:rsidP="005E5AB4">
      <w:pPr>
        <w:ind w:firstLine="709"/>
        <w:jc w:val="both"/>
        <w:rPr>
          <w:color w:val="000000"/>
          <w:lang w:val="uk-UA"/>
        </w:rPr>
      </w:pPr>
      <w:r w:rsidRPr="00A40F64">
        <w:rPr>
          <w:color w:val="000000" w:themeColor="text1"/>
          <w:lang w:val="uk-UA"/>
        </w:rPr>
        <w:t xml:space="preserve">- </w:t>
      </w:r>
      <w:r w:rsidRPr="00A40F64">
        <w:rPr>
          <w:color w:val="000000"/>
          <w:lang w:val="uk-UA"/>
        </w:rPr>
        <w:t xml:space="preserve">на </w:t>
      </w:r>
      <w:r w:rsidRPr="00A40F64">
        <w:rPr>
          <w:color w:val="000000"/>
          <w:shd w:val="clear" w:color="auto" w:fill="FFFFFF"/>
          <w:lang w:val="uk-UA"/>
        </w:rPr>
        <w:t>виконання заходів п</w:t>
      </w:r>
      <w:r w:rsidRPr="00A40F64">
        <w:rPr>
          <w:color w:val="000000"/>
          <w:lang w:val="uk-UA"/>
        </w:rPr>
        <w:t>рограми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Верховинської селищної ради на 2023 рік – 50,0 тис. грн;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A40F64">
        <w:rPr>
          <w:color w:val="000000"/>
          <w:lang w:val="uk-UA"/>
        </w:rPr>
        <w:t xml:space="preserve">- на </w:t>
      </w:r>
      <w:r w:rsidRPr="00A40F64">
        <w:rPr>
          <w:color w:val="000000"/>
          <w:shd w:val="clear" w:color="auto" w:fill="FFFFFF"/>
          <w:lang w:val="uk-UA"/>
        </w:rPr>
        <w:t>виконання заходів к</w:t>
      </w:r>
      <w:r w:rsidRPr="00A40F64">
        <w:rPr>
          <w:color w:val="000000"/>
          <w:lang w:val="uk-UA"/>
        </w:rPr>
        <w:t xml:space="preserve">омплексної цільової програми запобігання </w:t>
      </w:r>
      <w:r w:rsidRPr="00A40F64">
        <w:rPr>
          <w:color w:val="000000" w:themeColor="text1"/>
          <w:lang w:val="uk-UA"/>
        </w:rPr>
        <w:t>виникнення ситуацій природного і техногенного характеру та підвищення рівня готовності ПРВ смт. Верховина 4-ї спеціалізованої пошуково-рятувальної групи СПРЧ до дій за призначенням на 2023-2025 роки" – 50,0 тис. грн.</w:t>
      </w:r>
    </w:p>
    <w:p w:rsidR="005E5AB4" w:rsidRPr="00524BD2" w:rsidRDefault="005E5AB4" w:rsidP="005E5AB4">
      <w:pPr>
        <w:pStyle w:val="a7"/>
        <w:numPr>
          <w:ilvl w:val="0"/>
          <w:numId w:val="40"/>
        </w:numPr>
        <w:ind w:left="0" w:firstLine="709"/>
        <w:jc w:val="both"/>
        <w:rPr>
          <w:color w:val="000000" w:themeColor="text1"/>
          <w:shd w:val="clear" w:color="auto" w:fill="FFFFFF"/>
          <w:lang w:val="uk-UA"/>
        </w:rPr>
      </w:pPr>
      <w:r w:rsidRPr="00524BD2">
        <w:rPr>
          <w:color w:val="000000" w:themeColor="text1"/>
          <w:shd w:val="clear" w:color="auto" w:fill="FFFFFF"/>
          <w:lang w:val="uk-UA"/>
        </w:rPr>
        <w:t>Субвенція з місцевого бюджету іншим місцевим бюджетам на здійснення   програм та заходів за рахунок коштів місцевих бюджетів в сумі 2370,0 тис. грн:</w:t>
      </w:r>
    </w:p>
    <w:p w:rsidR="005E5AB4" w:rsidRPr="00524BD2" w:rsidRDefault="005E5AB4" w:rsidP="005E5AB4">
      <w:pPr>
        <w:pStyle w:val="a7"/>
        <w:numPr>
          <w:ilvl w:val="0"/>
          <w:numId w:val="41"/>
        </w:numPr>
        <w:ind w:left="0" w:firstLine="709"/>
        <w:jc w:val="both"/>
        <w:rPr>
          <w:color w:val="000000" w:themeColor="text1"/>
          <w:shd w:val="clear" w:color="auto" w:fill="FFFFFF"/>
          <w:lang w:val="uk-UA"/>
        </w:rPr>
      </w:pPr>
      <w:r w:rsidRPr="00524BD2">
        <w:rPr>
          <w:color w:val="000000" w:themeColor="text1"/>
          <w:shd w:val="clear" w:color="auto" w:fill="FFFFFF"/>
          <w:lang w:val="uk-UA"/>
        </w:rPr>
        <w:t>на заходи к</w:t>
      </w:r>
      <w:r w:rsidRPr="00524BD2">
        <w:rPr>
          <w:color w:val="000000" w:themeColor="text1"/>
          <w:lang w:val="uk-UA"/>
        </w:rPr>
        <w:t>омплексної Програма поводження з побутовими відходами та енергетичним господарством Верховинської селищної ради на 2022-2025 роки – 2</w:t>
      </w:r>
      <w:r w:rsidRPr="00A40F64">
        <w:rPr>
          <w:color w:val="000000" w:themeColor="text1"/>
        </w:rPr>
        <w:t> </w:t>
      </w:r>
      <w:r w:rsidRPr="00524BD2">
        <w:rPr>
          <w:color w:val="000000" w:themeColor="text1"/>
          <w:lang w:val="uk-UA"/>
        </w:rPr>
        <w:t>340,0 тис. грн, з яких спрямовано на: оплату за електричне вуличне освітлення – 265,2 тис. грн,  придбання розхідних матеріалів  - 166,5 тис. грн,  оплату праці з нарахуваннями робітникам комунальної служби – 1</w:t>
      </w:r>
      <w:r w:rsidRPr="00A40F64">
        <w:rPr>
          <w:color w:val="000000" w:themeColor="text1"/>
        </w:rPr>
        <w:t> </w:t>
      </w:r>
      <w:r w:rsidRPr="00524BD2">
        <w:rPr>
          <w:color w:val="000000" w:themeColor="text1"/>
          <w:lang w:val="uk-UA"/>
        </w:rPr>
        <w:t>518,2 тис. грн,  облаштування майданчиків під сміттєві баки – 110,0 тис. грн, придбання запчастин до міні трактора - 280,0 тис. грн;</w:t>
      </w:r>
    </w:p>
    <w:p w:rsidR="005E5AB4" w:rsidRPr="00A40F64" w:rsidRDefault="005E5AB4" w:rsidP="005E5AB4">
      <w:pPr>
        <w:pStyle w:val="a7"/>
        <w:numPr>
          <w:ilvl w:val="0"/>
          <w:numId w:val="41"/>
        </w:numPr>
        <w:ind w:left="0" w:firstLine="709"/>
        <w:jc w:val="both"/>
        <w:rPr>
          <w:color w:val="000000" w:themeColor="text1"/>
          <w:shd w:val="clear" w:color="auto" w:fill="FFFFFF"/>
        </w:rPr>
      </w:pPr>
      <w:r w:rsidRPr="00A40F64">
        <w:t>передача міжбюджетного трансферту Верховинському районному бюджету – 30,0 тис</w:t>
      </w:r>
      <w:proofErr w:type="gramStart"/>
      <w:r w:rsidRPr="00A40F64">
        <w:t>.</w:t>
      </w:r>
      <w:proofErr w:type="gramEnd"/>
      <w:r w:rsidRPr="00A40F64">
        <w:t xml:space="preserve"> </w:t>
      </w:r>
      <w:proofErr w:type="gramStart"/>
      <w:r w:rsidRPr="00A40F64">
        <w:t>г</w:t>
      </w:r>
      <w:proofErr w:type="gramEnd"/>
      <w:r w:rsidRPr="00A40F64">
        <w:t xml:space="preserve">рн. </w:t>
      </w:r>
      <w:r w:rsidRPr="00A40F64">
        <w:rPr>
          <w:color w:val="000000" w:themeColor="text1"/>
        </w:rPr>
        <w:t xml:space="preserve">  </w:t>
      </w:r>
    </w:p>
    <w:p w:rsidR="005E5AB4" w:rsidRPr="00A40F64" w:rsidRDefault="005E5AB4" w:rsidP="005E5AB4">
      <w:pPr>
        <w:pStyle w:val="a7"/>
        <w:ind w:left="0" w:firstLine="709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По </w:t>
      </w:r>
      <w:r w:rsidRPr="00A40F64">
        <w:rPr>
          <w:b/>
          <w:color w:val="000000" w:themeColor="text1"/>
        </w:rPr>
        <w:t>спеціальному фонду</w:t>
      </w:r>
      <w:r w:rsidRPr="00A40F64">
        <w:rPr>
          <w:color w:val="000000" w:themeColor="text1"/>
        </w:rPr>
        <w:t xml:space="preserve"> касові видатки </w:t>
      </w:r>
      <w:r w:rsidRPr="00A40F64">
        <w:rPr>
          <w:color w:val="000000"/>
        </w:rPr>
        <w:t xml:space="preserve">на міжбюджетні трансферти </w:t>
      </w:r>
      <w:r w:rsidRPr="00A40F64">
        <w:rPr>
          <w:color w:val="000000" w:themeColor="text1"/>
        </w:rPr>
        <w:t>в 2023 році становлять 62,0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рн, а саме:</w:t>
      </w:r>
    </w:p>
    <w:p w:rsidR="005E5AB4" w:rsidRPr="00A40F64" w:rsidRDefault="005E5AB4" w:rsidP="005E5AB4">
      <w:pPr>
        <w:pStyle w:val="a7"/>
        <w:numPr>
          <w:ilvl w:val="0"/>
          <w:numId w:val="41"/>
        </w:numPr>
        <w:ind w:left="142" w:firstLine="567"/>
        <w:jc w:val="both"/>
        <w:rPr>
          <w:color w:val="000000" w:themeColor="text1"/>
          <w:shd w:val="clear" w:color="auto" w:fill="FFFFFF"/>
        </w:rPr>
      </w:pPr>
      <w:r w:rsidRPr="00A40F64">
        <w:t xml:space="preserve">передача міжбюджетного трансферту (субвенційної допомоги) на забезпечення першочергової допомоги Великоолександрівській селищній територіальній громаді Херсонської області - </w:t>
      </w:r>
      <w:r w:rsidRPr="00A40F64">
        <w:rPr>
          <w:color w:val="000000" w:themeColor="text1"/>
        </w:rPr>
        <w:t>50,0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рн;</w:t>
      </w:r>
    </w:p>
    <w:p w:rsidR="005E5AB4" w:rsidRPr="00A40F64" w:rsidRDefault="005E5AB4" w:rsidP="005E5AB4">
      <w:pPr>
        <w:pStyle w:val="a7"/>
        <w:numPr>
          <w:ilvl w:val="0"/>
          <w:numId w:val="41"/>
        </w:numPr>
        <w:ind w:left="142" w:firstLine="567"/>
        <w:jc w:val="both"/>
        <w:rPr>
          <w:color w:val="000000" w:themeColor="text1"/>
          <w:shd w:val="clear" w:color="auto" w:fill="FFFFFF"/>
        </w:rPr>
      </w:pPr>
      <w:r w:rsidRPr="00A40F64">
        <w:t>надання міжбюджетного трансферту обласному бюджету Івано-Франківської області на спів фінансування видатків на закупівлю засобів навчання для навчальних кабінетів закладів загальної середньої освіти комунальної власності, що здійснюють освітній процес за Державним стандартом базової середньої осві</w:t>
      </w:r>
      <w:proofErr w:type="gramStart"/>
      <w:r w:rsidRPr="00A40F64">
        <w:t>ти на</w:t>
      </w:r>
      <w:proofErr w:type="gramEnd"/>
      <w:r w:rsidRPr="00A40F64">
        <w:t xml:space="preserve"> першому (адаптаційному) циклі базової середньої освіти за очною, поєднанням очної та дистанційної форми здобуття освіти.</w:t>
      </w:r>
    </w:p>
    <w:p w:rsidR="005E5AB4" w:rsidRPr="00A40F64" w:rsidRDefault="005E5AB4" w:rsidP="005E5AB4">
      <w:pPr>
        <w:pStyle w:val="a7"/>
        <w:ind w:left="852"/>
        <w:jc w:val="both"/>
        <w:rPr>
          <w:color w:val="000000" w:themeColor="text1"/>
          <w:shd w:val="clear" w:color="auto" w:fill="FFFFFF"/>
        </w:rPr>
      </w:pPr>
    </w:p>
    <w:p w:rsidR="005E5AB4" w:rsidRPr="00A40F64" w:rsidRDefault="005E5AB4" w:rsidP="005E5AB4">
      <w:pPr>
        <w:pStyle w:val="a7"/>
        <w:ind w:left="852"/>
        <w:jc w:val="both"/>
        <w:rPr>
          <w:color w:val="FF0000"/>
          <w:shd w:val="clear" w:color="auto" w:fill="FFFFFF"/>
        </w:rPr>
      </w:pPr>
    </w:p>
    <w:p w:rsidR="005E5AB4" w:rsidRPr="00A40F64" w:rsidRDefault="005E5AB4" w:rsidP="005E5AB4">
      <w:pPr>
        <w:ind w:left="720" w:firstLine="426"/>
        <w:jc w:val="center"/>
        <w:rPr>
          <w:b/>
          <w:bCs/>
          <w:color w:val="000000" w:themeColor="text1"/>
          <w:lang w:val="uk-UA"/>
        </w:rPr>
      </w:pPr>
      <w:r w:rsidRPr="00A40F64">
        <w:rPr>
          <w:b/>
          <w:bCs/>
          <w:color w:val="000000" w:themeColor="text1"/>
          <w:lang w:val="uk-UA"/>
        </w:rPr>
        <w:t>ЗАБОРГОВАНІСТЬ БЮДЖЕТНИХ УСТАНОВ</w:t>
      </w:r>
    </w:p>
    <w:p w:rsidR="005E5AB4" w:rsidRPr="00A40F64" w:rsidRDefault="005E5AB4" w:rsidP="005E5AB4">
      <w:pPr>
        <w:ind w:firstLine="720"/>
        <w:jc w:val="center"/>
        <w:rPr>
          <w:b/>
          <w:bCs/>
          <w:color w:val="000000" w:themeColor="text1"/>
          <w:lang w:val="uk-UA"/>
        </w:rPr>
      </w:pPr>
    </w:p>
    <w:p w:rsidR="005E5AB4" w:rsidRPr="00A40F64" w:rsidRDefault="005E5AB4" w:rsidP="005E5AB4">
      <w:pPr>
        <w:shd w:val="clear" w:color="auto" w:fill="FFFFFF"/>
        <w:spacing w:before="110" w:line="312" w:lineRule="exact"/>
        <w:ind w:right="5" w:firstLine="708"/>
        <w:jc w:val="both"/>
        <w:rPr>
          <w:color w:val="000000" w:themeColor="text1"/>
          <w:spacing w:val="-6"/>
          <w:lang w:val="uk-UA"/>
        </w:rPr>
      </w:pPr>
      <w:r w:rsidRPr="00A40F64">
        <w:rPr>
          <w:color w:val="000000" w:themeColor="text1"/>
          <w:spacing w:val="-4"/>
          <w:lang w:val="uk-UA"/>
        </w:rPr>
        <w:t xml:space="preserve"> Фінансовим управлінням селищної ради здійснюється </w:t>
      </w:r>
      <w:r w:rsidRPr="00A40F64">
        <w:rPr>
          <w:color w:val="000000" w:themeColor="text1"/>
          <w:spacing w:val="1"/>
          <w:lang w:val="uk-UA"/>
        </w:rPr>
        <w:t xml:space="preserve">постійний контроль та моніторинг стану </w:t>
      </w:r>
      <w:r w:rsidRPr="00A40F64">
        <w:rPr>
          <w:color w:val="000000" w:themeColor="text1"/>
          <w:spacing w:val="-6"/>
          <w:lang w:val="uk-UA"/>
        </w:rPr>
        <w:t>дебіторської і кредиторської заборгованості.</w:t>
      </w:r>
    </w:p>
    <w:p w:rsidR="005E5AB4" w:rsidRPr="00A40F64" w:rsidRDefault="005E5AB4" w:rsidP="005E5AB4">
      <w:pPr>
        <w:ind w:firstLine="708"/>
        <w:jc w:val="both"/>
        <w:rPr>
          <w:color w:val="000000" w:themeColor="text1"/>
          <w:lang w:val="uk-UA"/>
        </w:rPr>
      </w:pPr>
      <w:r w:rsidRPr="00A40F64">
        <w:rPr>
          <w:color w:val="000000" w:themeColor="text1"/>
        </w:rPr>
        <w:t>Згідно даних казначейського звіту</w:t>
      </w:r>
      <w:r w:rsidRPr="00A40F64">
        <w:rPr>
          <w:color w:val="000000" w:themeColor="text1"/>
          <w:lang w:val="uk-UA"/>
        </w:rPr>
        <w:t>,</w:t>
      </w:r>
      <w:r w:rsidRPr="00A40F64">
        <w:rPr>
          <w:color w:val="000000" w:themeColor="text1"/>
        </w:rPr>
        <w:t xml:space="preserve"> кредиторська заборгованість </w:t>
      </w:r>
      <w:r w:rsidRPr="00A40F64">
        <w:rPr>
          <w:color w:val="000000" w:themeColor="text1"/>
          <w:lang w:val="uk-UA"/>
        </w:rPr>
        <w:t xml:space="preserve">загального фонду по установах територіальної громади </w:t>
      </w:r>
      <w:r w:rsidRPr="00A40F64">
        <w:rPr>
          <w:color w:val="000000" w:themeColor="text1"/>
        </w:rPr>
        <w:t xml:space="preserve">станом на 01.01.2024 року становить </w:t>
      </w:r>
      <w:r w:rsidRPr="00A40F64">
        <w:rPr>
          <w:color w:val="000000" w:themeColor="text1"/>
          <w:lang w:val="uk-UA"/>
        </w:rPr>
        <w:t xml:space="preserve">2 143,9 </w:t>
      </w:r>
      <w:r w:rsidRPr="00A40F64">
        <w:rPr>
          <w:color w:val="000000" w:themeColor="text1"/>
        </w:rPr>
        <w:t>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</w:t>
      </w:r>
      <w:r w:rsidRPr="00A40F64">
        <w:rPr>
          <w:color w:val="000000" w:themeColor="text1"/>
          <w:lang w:val="uk-UA"/>
        </w:rPr>
        <w:t>,</w:t>
      </w:r>
      <w:r w:rsidRPr="00A40F64">
        <w:rPr>
          <w:color w:val="000000" w:themeColor="text1"/>
        </w:rPr>
        <w:t xml:space="preserve"> </w:t>
      </w:r>
      <w:r w:rsidRPr="00A40F64">
        <w:rPr>
          <w:color w:val="000000" w:themeColor="text1"/>
          <w:lang w:val="uk-UA"/>
        </w:rPr>
        <w:t>в тому числі по</w:t>
      </w:r>
      <w:r w:rsidRPr="00A40F64">
        <w:rPr>
          <w:color w:val="000000" w:themeColor="text1"/>
        </w:rPr>
        <w:t xml:space="preserve">: 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spacing w:after="200" w:line="317" w:lineRule="exact"/>
        <w:ind w:left="0" w:right="-5" w:firstLine="708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Верховинській селищній раді – 287,6 тис. грн (187,1 тис. грн </w:t>
      </w:r>
      <w:proofErr w:type="gramStart"/>
      <w:r w:rsidRPr="00A40F64">
        <w:rPr>
          <w:color w:val="000000" w:themeColor="text1"/>
        </w:rPr>
        <w:t>–н</w:t>
      </w:r>
      <w:proofErr w:type="gramEnd"/>
      <w:r w:rsidRPr="00A40F64">
        <w:rPr>
          <w:color w:val="000000" w:themeColor="text1"/>
        </w:rPr>
        <w:t>арахування на заробітну плату за другу половину грудня 2023 року;   100,5 тис. грн - вивіз сміття );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spacing w:after="200" w:line="317" w:lineRule="exact"/>
        <w:ind w:left="0" w:right="-5" w:firstLine="708"/>
        <w:jc w:val="both"/>
        <w:rPr>
          <w:color w:val="000000" w:themeColor="text1"/>
        </w:rPr>
      </w:pPr>
      <w:r w:rsidRPr="00A40F64">
        <w:rPr>
          <w:color w:val="000000" w:themeColor="text1"/>
        </w:rPr>
        <w:t xml:space="preserve">територіальному центру </w:t>
      </w:r>
      <w:proofErr w:type="gramStart"/>
      <w:r w:rsidRPr="00A40F64">
        <w:rPr>
          <w:color w:val="000000" w:themeColor="text1"/>
        </w:rPr>
        <w:t>соц</w:t>
      </w:r>
      <w:proofErr w:type="gramEnd"/>
      <w:r w:rsidRPr="00A40F64">
        <w:rPr>
          <w:color w:val="000000" w:themeColor="text1"/>
        </w:rPr>
        <w:t>іального обслуговування (надання соціальних послуг) – 14,4 тис. грн нарахування на заробітну плату за другу половину грудня 2023 року;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spacing w:after="200" w:line="317" w:lineRule="exact"/>
        <w:ind w:left="0" w:right="-5" w:firstLine="708"/>
        <w:jc w:val="both"/>
        <w:rPr>
          <w:color w:val="000000" w:themeColor="text1"/>
        </w:rPr>
      </w:pPr>
      <w:r w:rsidRPr="00A40F64">
        <w:rPr>
          <w:color w:val="000000"/>
        </w:rPr>
        <w:t xml:space="preserve">по Верховинському селищному центру </w:t>
      </w:r>
      <w:proofErr w:type="gramStart"/>
      <w:r w:rsidRPr="00A40F64">
        <w:rPr>
          <w:color w:val="000000"/>
        </w:rPr>
        <w:t>соц</w:t>
      </w:r>
      <w:proofErr w:type="gramEnd"/>
      <w:r w:rsidRPr="00A40F64">
        <w:rPr>
          <w:color w:val="000000"/>
        </w:rPr>
        <w:t>іальних служб – 4,1 тис. грн нарахування на заробітну плату за другу половину грудня 2023 року;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ind w:left="0" w:firstLine="0"/>
        <w:jc w:val="both"/>
        <w:rPr>
          <w:color w:val="000000" w:themeColor="text1"/>
        </w:rPr>
      </w:pPr>
      <w:r w:rsidRPr="00A40F64">
        <w:rPr>
          <w:color w:val="000000" w:themeColor="text1"/>
        </w:rPr>
        <w:t>відділу освіти, молоді та спорту – 1 779,4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 (20,7 тис. грн -  нарахування на заробітну плату за другу половину грудня 2023 року;  47,9 тис. грн – придбання автозапчастин, господарських товарів; 36,5 тис. грн – оплата за послуги зв’язку, вивіз сміття; 31,2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 – видатки на відрядження для проведення змагань по спорту, 1 643,1 тис. грн – оплата електроенергії);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ind w:left="0" w:firstLine="0"/>
        <w:jc w:val="both"/>
        <w:rPr>
          <w:color w:val="000000" w:themeColor="text1"/>
        </w:rPr>
      </w:pPr>
      <w:r w:rsidRPr="00A40F64">
        <w:rPr>
          <w:color w:val="000000" w:themeColor="text1"/>
        </w:rPr>
        <w:t>служби у справах дітей – 2,6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 нарахування на заробітну плату за другу половину грудня 2023 року;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ind w:left="0" w:firstLine="0"/>
        <w:jc w:val="both"/>
        <w:rPr>
          <w:color w:val="000000" w:themeColor="text1"/>
        </w:rPr>
      </w:pPr>
      <w:r w:rsidRPr="00A40F64">
        <w:rPr>
          <w:color w:val="000000" w:themeColor="text1"/>
        </w:rPr>
        <w:t>відділу культури – 50,7 тис. грн (45,9тис. грн - нарахування на заробітну плату за другу половину грудня 2023 року; 4,8 тис. грн -  придбання сувені</w:t>
      </w:r>
      <w:proofErr w:type="gramStart"/>
      <w:r w:rsidRPr="00A40F64">
        <w:rPr>
          <w:color w:val="000000" w:themeColor="text1"/>
        </w:rPr>
        <w:t>р</w:t>
      </w:r>
      <w:proofErr w:type="gramEnd"/>
      <w:r w:rsidRPr="00A40F64">
        <w:rPr>
          <w:color w:val="000000" w:themeColor="text1"/>
        </w:rPr>
        <w:t>ів та фотопаперу для проведення заходів);</w:t>
      </w:r>
    </w:p>
    <w:p w:rsidR="005E5AB4" w:rsidRPr="00A40F64" w:rsidRDefault="005E5AB4" w:rsidP="005E5AB4">
      <w:pPr>
        <w:pStyle w:val="a7"/>
        <w:numPr>
          <w:ilvl w:val="0"/>
          <w:numId w:val="13"/>
        </w:numPr>
        <w:shd w:val="clear" w:color="auto" w:fill="FFFFFF"/>
        <w:tabs>
          <w:tab w:val="left" w:pos="1095"/>
          <w:tab w:val="left" w:pos="9355"/>
        </w:tabs>
        <w:ind w:left="0" w:firstLine="0"/>
        <w:jc w:val="both"/>
        <w:rPr>
          <w:color w:val="000000" w:themeColor="text1"/>
        </w:rPr>
      </w:pPr>
      <w:r w:rsidRPr="00A40F64">
        <w:rPr>
          <w:color w:val="000000" w:themeColor="text1"/>
        </w:rPr>
        <w:t>фінансовому управлінню – 5,1 тис</w:t>
      </w:r>
      <w:proofErr w:type="gramStart"/>
      <w:r w:rsidRPr="00A40F64">
        <w:rPr>
          <w:color w:val="000000" w:themeColor="text1"/>
        </w:rPr>
        <w:t>.</w:t>
      </w:r>
      <w:proofErr w:type="gramEnd"/>
      <w:r w:rsidRPr="00A40F64">
        <w:rPr>
          <w:color w:val="000000" w:themeColor="text1"/>
        </w:rPr>
        <w:t xml:space="preserve"> </w:t>
      </w:r>
      <w:proofErr w:type="gramStart"/>
      <w:r w:rsidRPr="00A40F64">
        <w:rPr>
          <w:color w:val="000000" w:themeColor="text1"/>
        </w:rPr>
        <w:t>г</w:t>
      </w:r>
      <w:proofErr w:type="gramEnd"/>
      <w:r w:rsidRPr="00A40F64">
        <w:rPr>
          <w:color w:val="000000" w:themeColor="text1"/>
        </w:rPr>
        <w:t>рн - нарахування на заробітну плату за другу половину грудня 2023 року.</w:t>
      </w:r>
    </w:p>
    <w:p w:rsidR="005E5AB4" w:rsidRPr="00A40F64" w:rsidRDefault="005E5AB4" w:rsidP="005E5AB4">
      <w:pPr>
        <w:jc w:val="both"/>
        <w:rPr>
          <w:color w:val="000000" w:themeColor="text1"/>
        </w:rPr>
      </w:pPr>
      <w:r w:rsidRPr="00A40F64">
        <w:rPr>
          <w:color w:val="000000" w:themeColor="text1"/>
          <w:lang w:val="uk-UA"/>
        </w:rPr>
        <w:t xml:space="preserve">За </w:t>
      </w:r>
      <w:r w:rsidRPr="00A40F64">
        <w:rPr>
          <w:color w:val="000000" w:themeColor="text1"/>
        </w:rPr>
        <w:t xml:space="preserve">спеціальним фондом </w:t>
      </w:r>
      <w:r w:rsidRPr="00A40F64">
        <w:rPr>
          <w:color w:val="000000" w:themeColor="text1"/>
          <w:lang w:val="uk-UA"/>
        </w:rPr>
        <w:t>станом на 01.01.2024 року заборгованості немає.</w:t>
      </w:r>
      <w:r w:rsidRPr="00A40F64">
        <w:rPr>
          <w:color w:val="000000" w:themeColor="text1"/>
        </w:rPr>
        <w:t xml:space="preserve"> </w:t>
      </w:r>
    </w:p>
    <w:p w:rsidR="005E5AB4" w:rsidRPr="00A40F64" w:rsidRDefault="005E5AB4" w:rsidP="005E5AB4">
      <w:pPr>
        <w:jc w:val="both"/>
        <w:rPr>
          <w:color w:val="000000" w:themeColor="text1"/>
        </w:rPr>
      </w:pP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lang w:val="uk-UA"/>
        </w:rPr>
        <w:t xml:space="preserve">   </w:t>
      </w:r>
      <w:proofErr w:type="gramStart"/>
      <w:r w:rsidRPr="00A40F64">
        <w:t>Кредиторська заборгованість по видатка</w:t>
      </w:r>
      <w:r w:rsidRPr="00A40F64">
        <w:rPr>
          <w:lang w:val="uk-UA"/>
        </w:rPr>
        <w:t>х</w:t>
      </w:r>
      <w:r w:rsidRPr="00A40F64">
        <w:t xml:space="preserve"> виникла у зв’язку з виконанням повноважень Державною казначейською службою в особливому режимі в умовах воєнного стану.</w:t>
      </w:r>
      <w:proofErr w:type="gramEnd"/>
      <w:r w:rsidRPr="00A40F64">
        <w:t xml:space="preserve"> Проведення платежів здійснювалися в порядку визначеної черговості з урахуванням ресурсної забезпеченості єдиного казначейського рахунку відповідно до</w:t>
      </w:r>
      <w:proofErr w:type="gramStart"/>
      <w:r w:rsidRPr="00A40F64">
        <w:t xml:space="preserve"> П</w:t>
      </w:r>
      <w:proofErr w:type="gramEnd"/>
      <w:r w:rsidRPr="00A40F64">
        <w:t>останови КМУ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5E5AB4" w:rsidRPr="00A40F64" w:rsidRDefault="005E5AB4" w:rsidP="005E5AB4">
      <w:pPr>
        <w:ind w:firstLine="709"/>
        <w:jc w:val="both"/>
        <w:rPr>
          <w:lang w:val="uk-UA"/>
        </w:rPr>
      </w:pPr>
      <w:r w:rsidRPr="00A40F64">
        <w:rPr>
          <w:color w:val="000000"/>
          <w:bdr w:val="none" w:sz="0" w:space="0" w:color="auto" w:frame="1"/>
          <w:lang w:val="uk-UA" w:eastAsia="uk-UA"/>
        </w:rPr>
        <w:t>Кредиторська заборгованість з виплати заробітної плати працівникам бюджетної сфери виникла у зв’язку</w:t>
      </w:r>
      <w:r w:rsidRPr="00A40F64">
        <w:rPr>
          <w:lang w:val="uk-UA"/>
        </w:rPr>
        <w:t xml:space="preserve"> з невиконанням дохідної частини бюджету селищної територіальної громади в сумі 1 566,2 тис. грн, внаслідок вилучення «військового» ПДФО до державного бюджету в сумі 2 013,9 тис. грн.</w:t>
      </w:r>
    </w:p>
    <w:p w:rsidR="005E5AB4" w:rsidRPr="00A40F64" w:rsidRDefault="005E5AB4" w:rsidP="005E5AB4">
      <w:pPr>
        <w:ind w:firstLine="709"/>
        <w:jc w:val="both"/>
      </w:pPr>
      <w:r w:rsidRPr="00A40F64">
        <w:rPr>
          <w:shd w:val="clear" w:color="auto" w:fill="FFFFFF"/>
        </w:rPr>
        <w:t xml:space="preserve">Дебіторська заборгованість за видатками станом на </w:t>
      </w:r>
      <w:r w:rsidRPr="00A40F64">
        <w:rPr>
          <w:shd w:val="clear" w:color="auto" w:fill="FFFFFF"/>
          <w:lang w:val="uk-UA"/>
        </w:rPr>
        <w:t>01.01.</w:t>
      </w:r>
      <w:r w:rsidRPr="00A40F64">
        <w:rPr>
          <w:shd w:val="clear" w:color="auto" w:fill="FFFFFF"/>
        </w:rPr>
        <w:t>202</w:t>
      </w:r>
      <w:r w:rsidRPr="00A40F64">
        <w:rPr>
          <w:shd w:val="clear" w:color="auto" w:fill="FFFFFF"/>
          <w:lang w:val="uk-UA"/>
        </w:rPr>
        <w:t>4</w:t>
      </w:r>
      <w:r w:rsidRPr="00A40F64">
        <w:rPr>
          <w:shd w:val="clear" w:color="auto" w:fill="FFFFFF"/>
        </w:rPr>
        <w:t xml:space="preserve"> року по загальному та </w:t>
      </w:r>
      <w:proofErr w:type="gramStart"/>
      <w:r w:rsidRPr="00A40F64">
        <w:rPr>
          <w:shd w:val="clear" w:color="auto" w:fill="FFFFFF"/>
        </w:rPr>
        <w:t>спец</w:t>
      </w:r>
      <w:proofErr w:type="gramEnd"/>
      <w:r w:rsidRPr="00A40F64">
        <w:rPr>
          <w:shd w:val="clear" w:color="auto" w:fill="FFFFFF"/>
        </w:rPr>
        <w:t>іальному фондах відсутня.</w:t>
      </w:r>
      <w:r w:rsidRPr="00A40F64">
        <w:t xml:space="preserve">      </w:t>
      </w:r>
    </w:p>
    <w:p w:rsidR="005E5AB4" w:rsidRPr="00A40F64" w:rsidRDefault="005E5AB4" w:rsidP="005E5AB4">
      <w:pPr>
        <w:ind w:firstLine="709"/>
        <w:jc w:val="both"/>
      </w:pPr>
      <w:r w:rsidRPr="00A40F64">
        <w:t>Прострочена кредиторська заборгованість відсутня.</w:t>
      </w:r>
    </w:p>
    <w:p w:rsidR="005E5AB4" w:rsidRPr="00A40F64" w:rsidRDefault="005E5AB4" w:rsidP="005E5AB4">
      <w:pPr>
        <w:ind w:firstLine="709"/>
        <w:jc w:val="both"/>
      </w:pPr>
      <w:r w:rsidRPr="00A40F64">
        <w:rPr>
          <w:lang w:val="uk-UA"/>
        </w:rPr>
        <w:t>З метою ефективного та раціонального використання бюджетних коштів п</w:t>
      </w:r>
      <w:r w:rsidRPr="00A40F64">
        <w:t xml:space="preserve">рийнято розпорядження селищної ради від 10.01.2023 року № 2-д «Про заходи  щодо наповнення селищного бюджету, ефективного та раціонального використання бюджетних коштів і посилення  фінансово-бюджетної дисципліни на 2023 рік». </w:t>
      </w:r>
    </w:p>
    <w:p w:rsidR="005E5AB4" w:rsidRPr="00A40F64" w:rsidRDefault="005E5AB4" w:rsidP="005E5AB4">
      <w:pPr>
        <w:ind w:firstLine="709"/>
        <w:jc w:val="both"/>
      </w:pPr>
      <w:r w:rsidRPr="00A40F64">
        <w:t xml:space="preserve">На виконання зазначеного розпорядження розпорядниками бюджетних коштів розроблено заходи з економного та ефективного використання коштів на 2023 </w:t>
      </w:r>
      <w:proofErr w:type="gramStart"/>
      <w:r w:rsidRPr="00A40F64">
        <w:t>р</w:t>
      </w:r>
      <w:proofErr w:type="gramEnd"/>
      <w:r w:rsidRPr="00A40F64">
        <w:t xml:space="preserve">ік на загальну суму 14 007,5 тис. грн. Фактична сума економії за 2023 </w:t>
      </w:r>
      <w:proofErr w:type="gramStart"/>
      <w:r w:rsidRPr="00A40F64">
        <w:t>р</w:t>
      </w:r>
      <w:proofErr w:type="gramEnd"/>
      <w:r w:rsidRPr="00A40F64">
        <w:t xml:space="preserve">ік склала –10 394,3 тис. грн. Освітніми установами за звітний період план заходів виконано в сумі 4 436,7 тис. грн,  установами культури – 3 240,8 тис. грн, установами </w:t>
      </w:r>
      <w:proofErr w:type="gramStart"/>
      <w:r w:rsidRPr="00A40F64">
        <w:t>соц</w:t>
      </w:r>
      <w:proofErr w:type="gramEnd"/>
      <w:r w:rsidRPr="00A40F64">
        <w:t xml:space="preserve">іального захисту та молодіжної політики – 1 281,6 тис. грн, органами самоврядування – 1 422,7 тис. грн. </w:t>
      </w:r>
    </w:p>
    <w:p w:rsidR="005E5AB4" w:rsidRPr="00A40F64" w:rsidRDefault="005E5AB4" w:rsidP="005E5AB4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5E5AB4" w:rsidRPr="00A40F64" w:rsidRDefault="005E5AB4" w:rsidP="005E5AB4">
      <w:pPr>
        <w:pStyle w:val="a7"/>
        <w:ind w:left="0"/>
        <w:jc w:val="both"/>
        <w:rPr>
          <w:color w:val="FF0000"/>
          <w:shd w:val="clear" w:color="auto" w:fill="FFFFFF"/>
        </w:rPr>
      </w:pP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40F64">
        <w:rPr>
          <w:b/>
          <w:bCs/>
          <w:u w:val="single"/>
        </w:rPr>
        <w:t>ОРГАНІЗАЦІЙНА РОБОТА ПО ВИКОНАННЮ БЮДЖЕТУ</w:t>
      </w: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  <w:bCs/>
        </w:rPr>
      </w:pPr>
    </w:p>
    <w:p w:rsidR="005E5AB4" w:rsidRPr="00A40F64" w:rsidRDefault="005E5AB4" w:rsidP="005E5AB4">
      <w:pPr>
        <w:autoSpaceDE w:val="0"/>
        <w:autoSpaceDN w:val="0"/>
        <w:adjustRightInd w:val="0"/>
        <w:jc w:val="both"/>
      </w:pPr>
      <w:r w:rsidRPr="00A40F64">
        <w:t xml:space="preserve">У звітному періоді фінансовим управлінням </w:t>
      </w:r>
      <w:proofErr w:type="gramStart"/>
      <w:r w:rsidRPr="00A40F64">
        <w:t>проведена</w:t>
      </w:r>
      <w:proofErr w:type="gramEnd"/>
      <w:r w:rsidRPr="00A40F64">
        <w:t xml:space="preserve"> певна робота щодо виконання бюджету по доходах і видатках.</w:t>
      </w:r>
    </w:p>
    <w:p w:rsidR="005E5AB4" w:rsidRPr="00A40F64" w:rsidRDefault="005E5AB4" w:rsidP="005E5AB4">
      <w:pPr>
        <w:ind w:firstLine="708"/>
        <w:jc w:val="both"/>
        <w:rPr>
          <w:lang w:val="uk-UA"/>
        </w:rPr>
      </w:pPr>
      <w:r w:rsidRPr="00A40F64">
        <w:rPr>
          <w:lang w:val="uk-UA"/>
        </w:rPr>
        <w:t>Виконані всі завдання  Департаменту фінансів Івано-Франківської обласної державної адміністрації.</w:t>
      </w:r>
    </w:p>
    <w:p w:rsidR="005E5AB4" w:rsidRPr="00A40F64" w:rsidRDefault="005E5AB4" w:rsidP="005E5AB4">
      <w:pPr>
        <w:jc w:val="both"/>
      </w:pPr>
      <w:r w:rsidRPr="00A40F64">
        <w:t>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призначенням. Постійно здійснюється аналіз проведення видаткі</w:t>
      </w:r>
      <w:proofErr w:type="gramStart"/>
      <w:r w:rsidRPr="00A40F64">
        <w:t>в</w:t>
      </w:r>
      <w:proofErr w:type="gramEnd"/>
      <w:r w:rsidRPr="00A40F64">
        <w:t xml:space="preserve"> за програмно-цільовим методом.</w:t>
      </w:r>
    </w:p>
    <w:p w:rsidR="005E5AB4" w:rsidRPr="00A40F64" w:rsidRDefault="005E5AB4" w:rsidP="005E5AB4">
      <w:pPr>
        <w:ind w:firstLine="708"/>
        <w:jc w:val="both"/>
        <w:rPr>
          <w:lang w:val="uk-UA"/>
        </w:rPr>
      </w:pPr>
      <w:r w:rsidRPr="00A40F64">
        <w:t>За 12 місяців 202</w:t>
      </w:r>
      <w:r w:rsidRPr="00A40F64">
        <w:rPr>
          <w:lang w:val="uk-UA"/>
        </w:rPr>
        <w:t>3</w:t>
      </w:r>
      <w:r w:rsidRPr="00A40F64">
        <w:t xml:space="preserve"> року було проведено перевірки по </w:t>
      </w:r>
      <w:r w:rsidRPr="00A40F64">
        <w:rPr>
          <w:lang w:val="uk-UA"/>
        </w:rPr>
        <w:t>54</w:t>
      </w:r>
      <w:r w:rsidRPr="00A40F64">
        <w:t xml:space="preserve"> </w:t>
      </w:r>
      <w:r w:rsidRPr="00A40F64">
        <w:rPr>
          <w:lang w:val="uk-UA"/>
        </w:rPr>
        <w:t xml:space="preserve">бюджетних програмах  за 2023 </w:t>
      </w:r>
      <w:proofErr w:type="gramStart"/>
      <w:r w:rsidRPr="00A40F64">
        <w:rPr>
          <w:lang w:val="uk-UA"/>
        </w:rPr>
        <w:t>р</w:t>
      </w:r>
      <w:proofErr w:type="gramEnd"/>
      <w:r w:rsidRPr="00A40F64">
        <w:rPr>
          <w:lang w:val="uk-UA"/>
        </w:rPr>
        <w:t xml:space="preserve">ік </w:t>
      </w:r>
      <w:r w:rsidRPr="00A40F64">
        <w:t>щодо правильності складання і затвердження кошторисів по всіх установах і організаціях, які фінансуються з бюджету громади.</w:t>
      </w:r>
      <w:r w:rsidRPr="00A40F64">
        <w:rPr>
          <w:lang w:val="uk-UA"/>
        </w:rPr>
        <w:t xml:space="preserve"> Лімітні довідки про бюджетні асигнування, виписані у встановлені терміни. </w:t>
      </w:r>
    </w:p>
    <w:p w:rsidR="005E5AB4" w:rsidRPr="00A40F64" w:rsidRDefault="005E5AB4" w:rsidP="005E5AB4">
      <w:pPr>
        <w:ind w:firstLine="708"/>
        <w:jc w:val="both"/>
        <w:rPr>
          <w:lang w:val="uk-UA"/>
        </w:rPr>
      </w:pPr>
      <w:r w:rsidRPr="00A40F64">
        <w:rPr>
          <w:lang w:val="uk-UA"/>
        </w:rPr>
        <w:t>Кошториси, плани асигнувань і штатні розписи затверджені головними розпорядниками коштів, в установлені терміни і відповідними формами. Відповідно до п.22 постанови Кабінету Міністрів України від 28.02.2002р. № 228 в кошторисах наявні детальні розрахунки за всіма кодами економічної класифікації.</w:t>
      </w:r>
    </w:p>
    <w:p w:rsidR="005E5AB4" w:rsidRPr="00A40F64" w:rsidRDefault="005E5AB4" w:rsidP="005E5AB4">
      <w:pPr>
        <w:autoSpaceDE w:val="0"/>
        <w:autoSpaceDN w:val="0"/>
        <w:adjustRightInd w:val="0"/>
        <w:ind w:firstLine="708"/>
        <w:jc w:val="both"/>
      </w:pPr>
      <w:r w:rsidRPr="00A40F64">
        <w:t xml:space="preserve">Постійно проводиться робота щодо контролю за погашенням заборгованості бюджетних установ. Станом на 1-е число кожного місяця складаються оперативні дані про заборгованість бюджетних установ щодо </w:t>
      </w:r>
      <w:proofErr w:type="gramStart"/>
      <w:r w:rsidRPr="00A40F64">
        <w:t>соц</w:t>
      </w:r>
      <w:proofErr w:type="gramEnd"/>
      <w:r w:rsidRPr="00A40F64">
        <w:t xml:space="preserve">іальних виплат із місцевих бюджетів та інформація про стан нарахування заробітної плати працівників бюджетної сфери. </w:t>
      </w:r>
    </w:p>
    <w:p w:rsidR="005E5AB4" w:rsidRPr="00A40F64" w:rsidRDefault="005E5AB4" w:rsidP="005E5AB4">
      <w:pPr>
        <w:ind w:firstLine="708"/>
        <w:jc w:val="both"/>
      </w:pPr>
      <w:r w:rsidRPr="00A40F64">
        <w:t xml:space="preserve">Фінансове управління відповідно до покладених на нього завдань забезпечує захист фінансових інтересів держави та здійснює </w:t>
      </w:r>
      <w:proofErr w:type="gramStart"/>
      <w:r w:rsidRPr="00A40F64">
        <w:t>у</w:t>
      </w:r>
      <w:proofErr w:type="gramEnd"/>
      <w:r w:rsidRPr="00A40F64">
        <w:t xml:space="preserve"> межах своєї компетенції контроль за виконанням актів законодавства з фінансово-бюджетних питань.</w:t>
      </w:r>
    </w:p>
    <w:p w:rsidR="005E5AB4" w:rsidRPr="00A40F64" w:rsidRDefault="005E5AB4" w:rsidP="005E5AB4">
      <w:pPr>
        <w:jc w:val="both"/>
      </w:pPr>
    </w:p>
    <w:p w:rsidR="005E5AB4" w:rsidRPr="00A40F64" w:rsidRDefault="005E5AB4" w:rsidP="005E5AB4">
      <w:pPr>
        <w:autoSpaceDE w:val="0"/>
        <w:autoSpaceDN w:val="0"/>
        <w:adjustRightInd w:val="0"/>
        <w:jc w:val="center"/>
        <w:rPr>
          <w:b/>
        </w:rPr>
      </w:pPr>
    </w:p>
    <w:p w:rsidR="005E5AB4" w:rsidRPr="00A40F64" w:rsidRDefault="005E5AB4" w:rsidP="005E5AB4">
      <w:pPr>
        <w:jc w:val="both"/>
        <w:rPr>
          <w:shd w:val="clear" w:color="auto" w:fill="FFFFFF"/>
        </w:rPr>
      </w:pPr>
    </w:p>
    <w:p w:rsidR="005E5AB4" w:rsidRPr="00A40F64" w:rsidRDefault="005E5AB4" w:rsidP="005E5AB4">
      <w:pPr>
        <w:rPr>
          <w:b/>
          <w:lang w:val="uk-UA"/>
        </w:rPr>
      </w:pPr>
      <w:r w:rsidRPr="00A40F64">
        <w:rPr>
          <w:b/>
          <w:lang w:val="uk-UA"/>
        </w:rPr>
        <w:t xml:space="preserve">Начальник </w:t>
      </w:r>
    </w:p>
    <w:p w:rsidR="005E5AB4" w:rsidRPr="00A40F64" w:rsidRDefault="005E5AB4" w:rsidP="005E5AB4">
      <w:pPr>
        <w:rPr>
          <w:lang w:val="uk-UA"/>
        </w:rPr>
      </w:pPr>
      <w:r w:rsidRPr="00A40F64">
        <w:rPr>
          <w:b/>
          <w:lang w:val="uk-UA"/>
        </w:rPr>
        <w:t>фінансового управління</w:t>
      </w:r>
      <w:r w:rsidRPr="00A40F64">
        <w:rPr>
          <w:b/>
          <w:lang w:val="uk-UA"/>
        </w:rPr>
        <w:tab/>
      </w:r>
      <w:r w:rsidRPr="00A40F64">
        <w:rPr>
          <w:b/>
          <w:lang w:val="uk-UA"/>
        </w:rPr>
        <w:tab/>
        <w:t xml:space="preserve">             </w:t>
      </w:r>
      <w:r w:rsidRPr="00A40F64">
        <w:rPr>
          <w:b/>
          <w:lang w:val="uk-UA"/>
        </w:rPr>
        <w:tab/>
        <w:t xml:space="preserve">                     Світлана БЛИЩУК</w:t>
      </w:r>
    </w:p>
    <w:p w:rsidR="005E5AB4" w:rsidRPr="00A40F6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Default="005E5AB4" w:rsidP="005E5AB4">
      <w:pPr>
        <w:rPr>
          <w:lang w:val="uk-UA"/>
        </w:rPr>
      </w:pPr>
    </w:p>
    <w:p w:rsidR="005E5AB4" w:rsidRPr="00A40F64" w:rsidRDefault="005E5AB4" w:rsidP="005E5AB4">
      <w:pPr>
        <w:rPr>
          <w:lang w:val="uk-UA"/>
        </w:rPr>
      </w:pPr>
    </w:p>
    <w:p w:rsidR="005E5AB4" w:rsidRDefault="005E5AB4" w:rsidP="005E5AB4">
      <w:pPr>
        <w:autoSpaceDE w:val="0"/>
        <w:autoSpaceDN w:val="0"/>
        <w:adjustRightInd w:val="0"/>
        <w:jc w:val="both"/>
        <w:rPr>
          <w:lang w:val="uk-UA"/>
        </w:rPr>
      </w:pPr>
    </w:p>
    <w:p w:rsidR="005E5AB4" w:rsidRPr="006F1C8F" w:rsidRDefault="005E5AB4" w:rsidP="005E5AB4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Додаток 1                                                      </w:t>
      </w:r>
    </w:p>
    <w:p w:rsidR="005E5AB4" w:rsidRPr="006F1C8F" w:rsidRDefault="005E5AB4" w:rsidP="005E5AB4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 </w:t>
      </w:r>
      <w:proofErr w:type="gramStart"/>
      <w:r w:rsidRPr="006F1C8F">
        <w:rPr>
          <w:rFonts w:eastAsia="Times New Roman"/>
          <w:color w:val="000000"/>
          <w:sz w:val="18"/>
          <w:szCs w:val="18"/>
          <w:lang w:eastAsia="uk-UA"/>
        </w:rPr>
        <w:t>р</w:t>
      </w:r>
      <w:proofErr w:type="gram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ішення </w:t>
      </w:r>
      <w:r>
        <w:rPr>
          <w:rFonts w:eastAsia="Times New Roman"/>
          <w:color w:val="000000"/>
          <w:sz w:val="18"/>
          <w:szCs w:val="18"/>
          <w:lang w:eastAsia="uk-UA"/>
        </w:rPr>
        <w:t>виконавчого комітету</w:t>
      </w:r>
    </w:p>
    <w:p w:rsidR="005E5AB4" w:rsidRPr="009D7314" w:rsidRDefault="005E5AB4" w:rsidP="005E5AB4">
      <w:pPr>
        <w:ind w:firstLine="6946"/>
        <w:rPr>
          <w:lang w:val="uk-UA"/>
        </w:rPr>
      </w:pPr>
      <w:r>
        <w:rPr>
          <w:rFonts w:eastAsia="Times New Roman"/>
          <w:color w:val="000000"/>
          <w:sz w:val="18"/>
          <w:szCs w:val="18"/>
          <w:lang w:eastAsia="uk-UA"/>
        </w:rPr>
        <w:t xml:space="preserve">від </w:t>
      </w:r>
      <w:r>
        <w:rPr>
          <w:rFonts w:eastAsia="Times New Roman"/>
          <w:color w:val="000000"/>
          <w:sz w:val="18"/>
          <w:szCs w:val="18"/>
          <w:lang w:val="uk-UA" w:eastAsia="uk-UA"/>
        </w:rPr>
        <w:t>12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>.</w:t>
      </w:r>
      <w:r>
        <w:rPr>
          <w:rFonts w:eastAsia="Times New Roman"/>
          <w:color w:val="000000"/>
          <w:sz w:val="18"/>
          <w:szCs w:val="18"/>
          <w:lang w:eastAsia="uk-UA"/>
        </w:rPr>
        <w:t>01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>.202</w:t>
      </w:r>
      <w:r>
        <w:rPr>
          <w:rFonts w:eastAsia="Times New Roman"/>
          <w:color w:val="000000"/>
          <w:sz w:val="18"/>
          <w:szCs w:val="18"/>
          <w:lang w:eastAsia="uk-UA"/>
        </w:rPr>
        <w:t>4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№ </w:t>
      </w:r>
      <w:r>
        <w:rPr>
          <w:rFonts w:eastAsia="Times New Roman"/>
          <w:color w:val="000000"/>
          <w:sz w:val="18"/>
          <w:szCs w:val="18"/>
          <w:lang w:val="uk-UA" w:eastAsia="uk-UA"/>
        </w:rPr>
        <w:t>445</w:t>
      </w:r>
    </w:p>
    <w:p w:rsidR="005E5AB4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5E5AB4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5E5AB4" w:rsidRPr="00FC2ABE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FC2ABE">
        <w:rPr>
          <w:rFonts w:eastAsia="Times New Roman"/>
          <w:b/>
          <w:bCs/>
          <w:sz w:val="28"/>
          <w:szCs w:val="28"/>
          <w:lang w:eastAsia="uk-UA"/>
        </w:rPr>
        <w:t>Звіт про виконання доходної частини</w:t>
      </w:r>
    </w:p>
    <w:p w:rsidR="005E5AB4" w:rsidRPr="00D04554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бюджету Верховинської територіальної громади за 202</w:t>
      </w:r>
      <w:r>
        <w:rPr>
          <w:rFonts w:eastAsia="Times New Roman"/>
          <w:b/>
          <w:bCs/>
          <w:sz w:val="28"/>
          <w:szCs w:val="28"/>
          <w:lang w:eastAsia="uk-UA"/>
        </w:rPr>
        <w:t>3</w:t>
      </w:r>
      <w:r w:rsidRPr="00FC2ABE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gramStart"/>
      <w:r w:rsidRPr="00FC2ABE">
        <w:rPr>
          <w:rFonts w:eastAsia="Times New Roman"/>
          <w:b/>
          <w:bCs/>
          <w:sz w:val="28"/>
          <w:szCs w:val="28"/>
          <w:lang w:eastAsia="uk-UA"/>
        </w:rPr>
        <w:t>р</w:t>
      </w:r>
      <w:proofErr w:type="gramEnd"/>
      <w:r w:rsidRPr="00FC2ABE">
        <w:rPr>
          <w:rFonts w:eastAsia="Times New Roman"/>
          <w:b/>
          <w:bCs/>
          <w:sz w:val="28"/>
          <w:szCs w:val="28"/>
          <w:lang w:eastAsia="uk-UA"/>
        </w:rPr>
        <w:t>ік</w:t>
      </w:r>
    </w:p>
    <w:p w:rsidR="005E5AB4" w:rsidRPr="004811B1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color w:val="000000"/>
          <w:sz w:val="16"/>
          <w:szCs w:val="16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 xml:space="preserve">                                           ЗАГАЛЬНИЙ ФОНД                                     </w:t>
      </w:r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тис</w:t>
      </w:r>
      <w:proofErr w:type="gramStart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.</w:t>
      </w:r>
      <w:proofErr w:type="gramEnd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 xml:space="preserve"> </w:t>
      </w:r>
      <w:proofErr w:type="gramStart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г</w:t>
      </w:r>
      <w:proofErr w:type="gramEnd"/>
      <w:r w:rsidRPr="004811B1">
        <w:rPr>
          <w:rFonts w:eastAsia="Times New Roman"/>
          <w:bCs/>
          <w:color w:val="000000"/>
          <w:sz w:val="16"/>
          <w:szCs w:val="16"/>
          <w:lang w:eastAsia="uk-UA"/>
        </w:rPr>
        <w:t>рн.</w:t>
      </w:r>
    </w:p>
    <w:tbl>
      <w:tblPr>
        <w:tblW w:w="11059" w:type="dxa"/>
        <w:tblInd w:w="-601" w:type="dxa"/>
        <w:tblLayout w:type="fixed"/>
        <w:tblLook w:val="04A0"/>
      </w:tblPr>
      <w:tblGrid>
        <w:gridCol w:w="1276"/>
        <w:gridCol w:w="3261"/>
        <w:gridCol w:w="1560"/>
        <w:gridCol w:w="1275"/>
        <w:gridCol w:w="283"/>
        <w:gridCol w:w="1133"/>
        <w:gridCol w:w="142"/>
        <w:gridCol w:w="993"/>
        <w:gridCol w:w="285"/>
        <w:gridCol w:w="566"/>
        <w:gridCol w:w="285"/>
      </w:tblGrid>
      <w:tr w:rsidR="005E5AB4" w:rsidRPr="006F1C8F" w:rsidTr="00510997">
        <w:trPr>
          <w:gridAfter w:val="1"/>
          <w:wAfter w:w="285" w:type="dxa"/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ККД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ічн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>ий</w:t>
            </w: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Уточ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нений план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+/-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% викон.</w:t>
            </w:r>
          </w:p>
        </w:tc>
      </w:tr>
      <w:tr w:rsidR="005E5AB4" w:rsidRPr="006F1C8F" w:rsidTr="00510997">
        <w:trPr>
          <w:gridAfter w:val="1"/>
          <w:wAfter w:w="285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7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11010000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Податок та збі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на доходи фізичних 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53 635,6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54 444,9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50 356,4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-4 088,5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92,5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11020000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Податок на прибуток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ідприємств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175,5    </w:t>
            </w:r>
          </w:p>
        </w:tc>
      </w:tr>
      <w:tr w:rsidR="005E5AB4" w:rsidRPr="006F1C8F" w:rsidTr="00510997">
        <w:trPr>
          <w:gridAfter w:val="1"/>
          <w:wAfter w:w="285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13010000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Рентна плата за спеціальне використання лісових ресурсі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в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1325,5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1325,5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5E5AB4" w:rsidRPr="006F1C8F" w:rsidTr="00510997">
        <w:trPr>
          <w:gridAfter w:val="1"/>
          <w:wAfter w:w="285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Акцизний податок з вироблених в Україні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ідакцизних товарів (</w:t>
            </w:r>
            <w:r>
              <w:rPr>
                <w:rFonts w:eastAsia="Times New Roman"/>
                <w:color w:val="000000"/>
                <w:lang w:eastAsia="uk-UA"/>
              </w:rPr>
              <w:t>пального</w:t>
            </w:r>
            <w:r w:rsidRPr="00FC2ABE">
              <w:rPr>
                <w:rFonts w:eastAsia="Times New Roman"/>
                <w:color w:val="000000"/>
                <w:lang w:eastAsia="uk-UA"/>
              </w:rPr>
              <w:t>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557,8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574,4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103</w:t>
            </w:r>
          </w:p>
        </w:tc>
      </w:tr>
      <w:tr w:rsidR="005E5AB4" w:rsidRPr="006F1C8F" w:rsidTr="00510997">
        <w:trPr>
          <w:gridAfter w:val="1"/>
          <w:wAfter w:w="285" w:type="dxa"/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Акцизний податок з ввезених на митну територію України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ідакцизних товарів (</w:t>
            </w:r>
            <w:r>
              <w:rPr>
                <w:rFonts w:eastAsia="Times New Roman"/>
                <w:color w:val="000000"/>
                <w:lang w:eastAsia="uk-UA"/>
              </w:rPr>
              <w:t>пального</w:t>
            </w:r>
            <w:r w:rsidRPr="00FC2ABE">
              <w:rPr>
                <w:rFonts w:eastAsia="Times New Roman"/>
                <w:color w:val="000000"/>
                <w:lang w:eastAsia="uk-UA"/>
              </w:rPr>
              <w:t>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2024,5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2190,5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108,2</w:t>
            </w:r>
          </w:p>
        </w:tc>
      </w:tr>
      <w:tr w:rsidR="005E5AB4" w:rsidRPr="006F1C8F" w:rsidTr="00510997">
        <w:trPr>
          <w:gridAfter w:val="1"/>
          <w:wAfter w:w="285" w:type="dxa"/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14040000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Акцизний податок з реалізації суб`єктами господарювання роздрібної торгі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вл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і підакцизних товарів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1496,9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108,6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Податок на майно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3805,4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4631,1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5809,3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1178,2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125,4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Туристичний збі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147,5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18050000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Єдиний податок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6484,8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6877,1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7812,8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113,6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21010000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226757">
              <w:rPr>
                <w:rFonts w:eastAsia="Times New Roman"/>
                <w:color w:val="000000"/>
                <w:lang w:eastAsia="uk-UA"/>
              </w:rPr>
              <w:t xml:space="preserve">Частина чистого прибутку (доходу) державних або комунальних унітарних </w:t>
            </w:r>
            <w:proofErr w:type="gramStart"/>
            <w:r w:rsidRPr="00226757">
              <w:rPr>
                <w:rFonts w:eastAsia="Times New Roman"/>
                <w:color w:val="000000"/>
                <w:lang w:eastAsia="uk-UA"/>
              </w:rPr>
              <w:t>п</w:t>
            </w:r>
            <w:proofErr w:type="gramEnd"/>
            <w:r w:rsidRPr="00226757">
              <w:rPr>
                <w:rFonts w:eastAsia="Times New Roman"/>
                <w:color w:val="000000"/>
                <w:lang w:eastAsia="uk-UA"/>
              </w:rPr>
              <w:t>ідприємств та їх об`єднань, що вилучається до відповідного бюджету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125,4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21080000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Інші надходження  </w:t>
            </w:r>
            <w:r>
              <w:rPr>
                <w:rFonts w:eastAsia="Times New Roman"/>
                <w:color w:val="000000"/>
                <w:lang w:eastAsia="uk-UA"/>
              </w:rPr>
              <w:t>(адміністративні штрафи та санкції)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5E5AB4" w:rsidRPr="006F1C8F" w:rsidTr="00510997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22010000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Плата за надання адміністративних послуг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1190,1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1205,1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101,3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22090000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Державне мито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152,4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24060000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Інші надходження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103,3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81,8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-21,5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79,2</w:t>
            </w:r>
          </w:p>
        </w:tc>
      </w:tr>
      <w:tr w:rsidR="005E5AB4" w:rsidRPr="006F1C8F" w:rsidTr="00510997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Дотації з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державного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бюджету місцевим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31 261,3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37 249,5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37 249,5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5E5AB4" w:rsidRPr="006F1C8F" w:rsidTr="00510997">
        <w:trPr>
          <w:gridAfter w:val="1"/>
          <w:wAfter w:w="285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lastRenderedPageBreak/>
              <w:t>41030000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 xml:space="preserve">Субвенції з </w:t>
            </w:r>
            <w:proofErr w:type="gramStart"/>
            <w:r w:rsidRPr="00FC2ABE">
              <w:rPr>
                <w:rFonts w:eastAsia="Times New Roman"/>
                <w:color w:val="000000"/>
                <w:lang w:eastAsia="uk-UA"/>
              </w:rPr>
              <w:t>державного</w:t>
            </w:r>
            <w:proofErr w:type="gramEnd"/>
            <w:r w:rsidRPr="00FC2ABE">
              <w:rPr>
                <w:rFonts w:eastAsia="Times New Roman"/>
                <w:color w:val="000000"/>
                <w:lang w:eastAsia="uk-UA"/>
              </w:rPr>
              <w:t xml:space="preserve"> бюджету місцевим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122 100,7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122 100,7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5E5AB4" w:rsidRPr="006F1C8F" w:rsidTr="00510997">
        <w:trPr>
          <w:gridAfter w:val="1"/>
          <w:wAfter w:w="285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41040000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Дотації з місцевих бюджетів іншим місцевим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2 170,1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2 553,0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2553,0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100</w:t>
            </w:r>
          </w:p>
        </w:tc>
      </w:tr>
      <w:tr w:rsidR="005E5AB4" w:rsidRPr="006F1C8F" w:rsidTr="00510997">
        <w:trPr>
          <w:gridAfter w:val="1"/>
          <w:wAfter w:w="285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41050000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FC2ABE">
              <w:rPr>
                <w:rFonts w:eastAsia="Times New Roman"/>
                <w:color w:val="000000"/>
                <w:lang w:eastAsia="uk-UA"/>
              </w:rPr>
              <w:t>Субвенції з місцеви</w:t>
            </w:r>
            <w:r>
              <w:rPr>
                <w:rFonts w:eastAsia="Times New Roman"/>
                <w:color w:val="000000"/>
                <w:lang w:eastAsia="uk-UA"/>
              </w:rPr>
              <w:t>х бюджеті</w:t>
            </w:r>
            <w:proofErr w:type="gramStart"/>
            <w:r>
              <w:rPr>
                <w:rFonts w:eastAsia="Times New Roman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5 442,7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5 418,3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99,5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5AB4" w:rsidRPr="007B3603" w:rsidRDefault="005E5AB4" w:rsidP="00510997">
            <w:pPr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Усього </w:t>
            </w:r>
            <w:proofErr w:type="gramStart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( </w:t>
            </w:r>
            <w:proofErr w:type="gram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без урахування трансфертів)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70 897,0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72 996,0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71 429,8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numPr>
                <w:ilvl w:val="0"/>
                <w:numId w:val="6"/>
              </w:numPr>
              <w:ind w:left="-107" w:hanging="827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1566,2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97,9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5AB4" w:rsidRPr="007B3603" w:rsidRDefault="005E5AB4" w:rsidP="00510997">
            <w:pPr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Усього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104 451,3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240 341,9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238 751,3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-1590,6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99,3</w:t>
            </w: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СПЕЦ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ІАЛЬНИЙ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E5AB4" w:rsidRPr="006F1C8F" w:rsidTr="00510997">
        <w:trPr>
          <w:gridAfter w:val="1"/>
          <w:wAfter w:w="285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FC2ABE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            тис</w:t>
            </w:r>
            <w:proofErr w:type="gramStart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  <w:proofErr w:type="gramEnd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г</w:t>
            </w:r>
            <w:proofErr w:type="gramEnd"/>
            <w:r w:rsidRPr="00FC2ABE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6F1C8F" w:rsidRDefault="005E5AB4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E5AB4" w:rsidRPr="006F1C8F" w:rsidTr="00510997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ККД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>ічн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>ий</w:t>
            </w: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план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FC2ABE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C2ABE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Уточ</w:t>
            </w: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нений план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uk-UA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uk-UA"/>
              </w:rPr>
              <w:t>ік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+/-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% викон.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7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19010000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Екологічний податок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22,6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169,8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24060000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Інші надходження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118,0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ind w:left="-109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3189,4</w:t>
            </w:r>
          </w:p>
        </w:tc>
      </w:tr>
      <w:tr w:rsidR="005E5AB4" w:rsidRPr="006F1C8F" w:rsidTr="00510997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25010000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3 005,5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3 005,5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3 921,0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130,5</w:t>
            </w:r>
          </w:p>
        </w:tc>
      </w:tr>
      <w:tr w:rsidR="005E5AB4" w:rsidRPr="006F1C8F" w:rsidTr="00510997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25020000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Інші джерела власних надходжень бюджетних установ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11 659,0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11659,0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33010000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Кошти від продажу землі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288,7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742,9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674,6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-68,3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90,8</w:t>
            </w:r>
          </w:p>
        </w:tc>
      </w:tr>
      <w:tr w:rsidR="005E5AB4" w:rsidRPr="006F1C8F" w:rsidTr="0051099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41050000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6985,6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5830,2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-1155,4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83,4</w:t>
            </w:r>
          </w:p>
        </w:tc>
      </w:tr>
      <w:tr w:rsidR="005E5AB4" w:rsidRPr="006F1C8F" w:rsidTr="00510997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50110000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  <w:proofErr w:type="gramStart"/>
            <w:r w:rsidRPr="007B3603">
              <w:rPr>
                <w:rFonts w:eastAsia="Times New Roman"/>
                <w:color w:val="000000"/>
                <w:lang w:eastAsia="uk-UA"/>
              </w:rPr>
              <w:t>Ц</w:t>
            </w:r>
            <w:proofErr w:type="gramEnd"/>
            <w:r w:rsidRPr="007B3603">
              <w:rPr>
                <w:rFonts w:eastAsia="Times New Roman"/>
                <w:color w:val="000000"/>
                <w:lang w:eastAsia="uk-UA"/>
              </w:rPr>
              <w:t>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B3603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172,4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105,5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Усього </w:t>
            </w:r>
            <w:proofErr w:type="gramStart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( </w:t>
            </w:r>
            <w:proofErr w:type="gramEnd"/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без урахування трансфертів)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3311,2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16 567,6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12 638,8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421,7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b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color w:val="000000"/>
                <w:lang w:eastAsia="uk-UA"/>
              </w:rPr>
              <w:t xml:space="preserve">Усього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3311,2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10 914,4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22 397,8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11 483,4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205,2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B4" w:rsidRPr="007B3603" w:rsidRDefault="005E5AB4" w:rsidP="00510997">
            <w:pPr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РАЗО</w:t>
            </w:r>
            <w:proofErr w:type="gramStart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>М(</w:t>
            </w:r>
            <w:proofErr w:type="gramEnd"/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без урахування трансфертів)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74 208,2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76 924,8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87 997,4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11 072,6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114,4</w:t>
            </w:r>
          </w:p>
        </w:tc>
      </w:tr>
      <w:tr w:rsidR="005E5AB4" w:rsidRPr="006F1C8F" w:rsidTr="0051099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5E5AB4" w:rsidRPr="007B3603" w:rsidRDefault="005E5AB4" w:rsidP="00510997">
            <w:pPr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7B3603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РАЗОМ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107 762,5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251 256,3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261 149,1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9892,8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E5AB4" w:rsidRPr="007B3603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103,9</w:t>
            </w:r>
          </w:p>
        </w:tc>
      </w:tr>
    </w:tbl>
    <w:p w:rsidR="005E5AB4" w:rsidRDefault="005E5AB4" w:rsidP="005E5AB4"/>
    <w:p w:rsidR="005E5AB4" w:rsidRPr="006F1C8F" w:rsidRDefault="005E5AB4" w:rsidP="005E5AB4">
      <w:pPr>
        <w:rPr>
          <w:rFonts w:eastAsia="Times New Roman"/>
          <w:color w:val="000000"/>
          <w:sz w:val="18"/>
          <w:szCs w:val="18"/>
          <w:lang w:eastAsia="uk-UA"/>
        </w:rPr>
      </w:pPr>
      <w:r>
        <w:rPr>
          <w:rFonts w:eastAsia="Times New Roman"/>
          <w:color w:val="000000"/>
          <w:sz w:val="18"/>
          <w:szCs w:val="18"/>
          <w:lang w:eastAsia="uk-UA"/>
        </w:rPr>
        <w:br w:type="page"/>
      </w:r>
      <w:r>
        <w:rPr>
          <w:rFonts w:eastAsia="Times New Roman"/>
          <w:color w:val="000000"/>
          <w:sz w:val="18"/>
          <w:szCs w:val="18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Додаток </w:t>
      </w:r>
      <w:r>
        <w:rPr>
          <w:rFonts w:eastAsia="Times New Roman"/>
          <w:color w:val="000000"/>
          <w:sz w:val="18"/>
          <w:szCs w:val="18"/>
          <w:lang w:eastAsia="uk-UA"/>
        </w:rPr>
        <w:t>2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                                                     </w:t>
      </w:r>
    </w:p>
    <w:p w:rsidR="005E5AB4" w:rsidRPr="006F1C8F" w:rsidRDefault="005E5AB4" w:rsidP="005E5AB4">
      <w:pPr>
        <w:ind w:firstLine="6946"/>
        <w:rPr>
          <w:rFonts w:eastAsia="Times New Roman"/>
          <w:color w:val="000000"/>
          <w:sz w:val="18"/>
          <w:szCs w:val="18"/>
          <w:lang w:eastAsia="uk-UA"/>
        </w:rPr>
      </w:pP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до </w:t>
      </w:r>
      <w:proofErr w:type="gramStart"/>
      <w:r w:rsidRPr="006F1C8F">
        <w:rPr>
          <w:rFonts w:eastAsia="Times New Roman"/>
          <w:color w:val="000000"/>
          <w:sz w:val="18"/>
          <w:szCs w:val="18"/>
          <w:lang w:eastAsia="uk-UA"/>
        </w:rPr>
        <w:t>р</w:t>
      </w:r>
      <w:proofErr w:type="gramEnd"/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ішення </w:t>
      </w:r>
      <w:r>
        <w:rPr>
          <w:rFonts w:eastAsia="Times New Roman"/>
          <w:color w:val="000000"/>
          <w:sz w:val="18"/>
          <w:szCs w:val="18"/>
          <w:lang w:eastAsia="uk-UA"/>
        </w:rPr>
        <w:t>виконавчого комітету</w:t>
      </w:r>
    </w:p>
    <w:p w:rsidR="005E5AB4" w:rsidRPr="009D7314" w:rsidRDefault="005E5AB4" w:rsidP="005E5AB4">
      <w:pPr>
        <w:ind w:firstLine="6946"/>
        <w:rPr>
          <w:lang w:val="uk-UA"/>
        </w:rPr>
      </w:pPr>
      <w:r>
        <w:rPr>
          <w:rFonts w:eastAsia="Times New Roman"/>
          <w:color w:val="000000"/>
          <w:sz w:val="18"/>
          <w:szCs w:val="18"/>
          <w:lang w:eastAsia="uk-UA"/>
        </w:rPr>
        <w:t xml:space="preserve">від </w:t>
      </w:r>
      <w:r>
        <w:rPr>
          <w:rFonts w:eastAsia="Times New Roman"/>
          <w:color w:val="000000"/>
          <w:sz w:val="18"/>
          <w:szCs w:val="18"/>
          <w:lang w:val="uk-UA" w:eastAsia="uk-UA"/>
        </w:rPr>
        <w:t>12</w:t>
      </w:r>
      <w:r>
        <w:rPr>
          <w:rFonts w:eastAsia="Times New Roman"/>
          <w:color w:val="000000"/>
          <w:sz w:val="18"/>
          <w:szCs w:val="18"/>
          <w:lang w:eastAsia="uk-UA"/>
        </w:rPr>
        <w:t>.0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>1.202</w:t>
      </w:r>
      <w:r>
        <w:rPr>
          <w:rFonts w:eastAsia="Times New Roman"/>
          <w:color w:val="000000"/>
          <w:sz w:val="18"/>
          <w:szCs w:val="18"/>
          <w:lang w:eastAsia="uk-UA"/>
        </w:rPr>
        <w:t>4</w:t>
      </w:r>
      <w:r w:rsidRPr="006F1C8F">
        <w:rPr>
          <w:rFonts w:eastAsia="Times New Roman"/>
          <w:color w:val="000000"/>
          <w:sz w:val="18"/>
          <w:szCs w:val="18"/>
          <w:lang w:eastAsia="uk-UA"/>
        </w:rPr>
        <w:t xml:space="preserve"> № </w:t>
      </w:r>
      <w:r>
        <w:rPr>
          <w:rFonts w:eastAsia="Times New Roman"/>
          <w:color w:val="000000"/>
          <w:sz w:val="18"/>
          <w:szCs w:val="18"/>
          <w:lang w:val="uk-UA" w:eastAsia="uk-UA"/>
        </w:rPr>
        <w:t>445</w:t>
      </w:r>
    </w:p>
    <w:p w:rsidR="005E5AB4" w:rsidRPr="00854BDA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32"/>
          <w:szCs w:val="32"/>
          <w:lang w:eastAsia="uk-UA"/>
        </w:rPr>
      </w:pPr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Звіт про виконання видаткової частини </w:t>
      </w:r>
    </w:p>
    <w:p w:rsidR="005E5AB4" w:rsidRPr="00D04554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32"/>
          <w:szCs w:val="32"/>
          <w:lang w:eastAsia="uk-UA"/>
        </w:rPr>
      </w:pPr>
      <w:r w:rsidRPr="00854BDA">
        <w:rPr>
          <w:rFonts w:eastAsia="Times New Roman"/>
          <w:b/>
          <w:bCs/>
          <w:sz w:val="32"/>
          <w:szCs w:val="32"/>
          <w:lang w:eastAsia="uk-UA"/>
        </w:rPr>
        <w:t xml:space="preserve">бюджету Верховинської територіальної громади за 2023 </w:t>
      </w:r>
      <w:proofErr w:type="gramStart"/>
      <w:r w:rsidRPr="00854BDA">
        <w:rPr>
          <w:rFonts w:eastAsia="Times New Roman"/>
          <w:b/>
          <w:bCs/>
          <w:sz w:val="32"/>
          <w:szCs w:val="32"/>
          <w:lang w:eastAsia="uk-UA"/>
        </w:rPr>
        <w:t>р</w:t>
      </w:r>
      <w:proofErr w:type="gramEnd"/>
      <w:r w:rsidRPr="00854BDA">
        <w:rPr>
          <w:rFonts w:eastAsia="Times New Roman"/>
          <w:b/>
          <w:bCs/>
          <w:sz w:val="32"/>
          <w:szCs w:val="32"/>
          <w:lang w:eastAsia="uk-UA"/>
        </w:rPr>
        <w:t>ік</w:t>
      </w:r>
    </w:p>
    <w:p w:rsidR="005E5AB4" w:rsidRPr="00854BDA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lang w:eastAsia="uk-UA"/>
        </w:rPr>
      </w:pPr>
      <w:r w:rsidRPr="00854BDA">
        <w:rPr>
          <w:rFonts w:eastAsia="Times New Roman"/>
          <w:b/>
          <w:bCs/>
          <w:lang w:eastAsia="uk-UA"/>
        </w:rPr>
        <w:t>ЗАГАЛЬНИЙ ФОНД</w:t>
      </w:r>
    </w:p>
    <w:p w:rsidR="005E5AB4" w:rsidRPr="00854BDA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20"/>
          <w:szCs w:val="20"/>
          <w:lang w:eastAsia="uk-UA"/>
        </w:rPr>
      </w:pPr>
      <w:r w:rsidRPr="00854BDA">
        <w:rPr>
          <w:rFonts w:eastAsia="Times New Roman"/>
          <w:b/>
          <w:bCs/>
          <w:lang w:eastAsia="uk-UA"/>
        </w:rPr>
        <w:tab/>
        <w:t xml:space="preserve">                                                        </w:t>
      </w:r>
      <w:r w:rsidRPr="00854BDA">
        <w:rPr>
          <w:rFonts w:eastAsia="Times New Roman"/>
          <w:bCs/>
          <w:sz w:val="20"/>
          <w:szCs w:val="20"/>
          <w:lang w:eastAsia="uk-UA"/>
        </w:rPr>
        <w:t>тис</w:t>
      </w:r>
      <w:proofErr w:type="gramStart"/>
      <w:r w:rsidRPr="00854BDA">
        <w:rPr>
          <w:rFonts w:eastAsia="Times New Roman"/>
          <w:bCs/>
          <w:sz w:val="20"/>
          <w:szCs w:val="20"/>
          <w:lang w:eastAsia="uk-UA"/>
        </w:rPr>
        <w:t>.</w:t>
      </w:r>
      <w:proofErr w:type="gramEnd"/>
      <w:r w:rsidRPr="00854BDA">
        <w:rPr>
          <w:rFonts w:eastAsia="Times New Roman"/>
          <w:bCs/>
          <w:sz w:val="20"/>
          <w:szCs w:val="20"/>
          <w:lang w:eastAsia="uk-UA"/>
        </w:rPr>
        <w:t xml:space="preserve"> </w:t>
      </w:r>
      <w:proofErr w:type="gramStart"/>
      <w:r w:rsidRPr="00854BDA">
        <w:rPr>
          <w:rFonts w:eastAsia="Times New Roman"/>
          <w:bCs/>
          <w:sz w:val="20"/>
          <w:szCs w:val="20"/>
          <w:lang w:eastAsia="uk-UA"/>
        </w:rPr>
        <w:t>г</w:t>
      </w:r>
      <w:proofErr w:type="gramEnd"/>
      <w:r w:rsidRPr="00854BDA">
        <w:rPr>
          <w:rFonts w:eastAsia="Times New Roman"/>
          <w:bCs/>
          <w:sz w:val="20"/>
          <w:szCs w:val="20"/>
          <w:lang w:eastAsia="uk-UA"/>
        </w:rPr>
        <w:t>рн.</w:t>
      </w:r>
    </w:p>
    <w:tbl>
      <w:tblPr>
        <w:tblW w:w="10150" w:type="dxa"/>
        <w:tblInd w:w="-318" w:type="dxa"/>
        <w:tblLayout w:type="fixed"/>
        <w:tblLook w:val="04A0"/>
      </w:tblPr>
      <w:tblGrid>
        <w:gridCol w:w="724"/>
        <w:gridCol w:w="3246"/>
        <w:gridCol w:w="1418"/>
        <w:gridCol w:w="1417"/>
        <w:gridCol w:w="1105"/>
        <w:gridCol w:w="1248"/>
        <w:gridCol w:w="992"/>
      </w:tblGrid>
      <w:tr w:rsidR="005E5AB4" w:rsidRPr="00854BDA" w:rsidTr="00510997">
        <w:trPr>
          <w:trHeight w:val="1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Код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Показник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План на </w:t>
            </w:r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 xml:space="preserve">ік з урахуван-ням змін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Фактично виконано за  </w:t>
            </w:r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ік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Заборгованість на 01.01.24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val="en-US" w:eastAsia="uk-UA"/>
              </w:rPr>
              <w:t>Відхи</w:t>
            </w:r>
            <w:r w:rsidRPr="00854BDA">
              <w:rPr>
                <w:rFonts w:eastAsia="Times New Roman"/>
                <w:b/>
                <w:bCs/>
                <w:lang w:eastAsia="uk-UA"/>
              </w:rPr>
              <w:t>-</w:t>
            </w:r>
            <w:r w:rsidRPr="00854BDA">
              <w:rPr>
                <w:rFonts w:eastAsia="Times New Roman"/>
                <w:b/>
                <w:bCs/>
                <w:lang w:val="en-US" w:eastAsia="uk-UA"/>
              </w:rPr>
              <w:t>лення (</w:t>
            </w:r>
            <w:proofErr w:type="gramStart"/>
            <w:r w:rsidRPr="00854BDA">
              <w:rPr>
                <w:rFonts w:eastAsia="Times New Roman"/>
                <w:b/>
                <w:bCs/>
                <w:lang w:val="en-US" w:eastAsia="uk-UA"/>
              </w:rPr>
              <w:t>+</w:t>
            </w:r>
            <w:r w:rsidRPr="00854BDA">
              <w:rPr>
                <w:rFonts w:eastAsia="Times New Roman"/>
                <w:b/>
                <w:bCs/>
                <w:lang w:eastAsia="uk-UA"/>
              </w:rPr>
              <w:t>;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% вико-нання за </w:t>
            </w:r>
            <w:proofErr w:type="gramStart"/>
            <w:r w:rsidRPr="00854BDA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854BDA">
              <w:rPr>
                <w:rFonts w:eastAsia="Times New Roman"/>
                <w:b/>
                <w:bCs/>
                <w:lang w:eastAsia="uk-UA"/>
              </w:rPr>
              <w:t>ік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0100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Державне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18732,4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199,7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97,7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Освіта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192769,9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190970,3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1 771,7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99,1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2000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Охорона здоров</w:t>
            </w:r>
            <w:proofErr w:type="gramStart"/>
            <w:r w:rsidRPr="00854BDA">
              <w:rPr>
                <w:rFonts w:eastAsia="Times New Roman"/>
                <w:lang w:eastAsia="uk-UA"/>
              </w:rPr>
              <w:t>`я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4794,2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94,8</w:t>
            </w:r>
          </w:p>
        </w:tc>
      </w:tr>
      <w:tr w:rsidR="005E5AB4" w:rsidRPr="00854BDA" w:rsidTr="00510997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proofErr w:type="gramStart"/>
            <w:r w:rsidRPr="00854BDA">
              <w:rPr>
                <w:rFonts w:eastAsia="Times New Roman"/>
                <w:lang w:eastAsia="uk-UA"/>
              </w:rPr>
              <w:t>Соц</w:t>
            </w:r>
            <w:proofErr w:type="gramEnd"/>
            <w:r w:rsidRPr="00854BDA">
              <w:rPr>
                <w:rFonts w:eastAsia="Times New Roman"/>
                <w:lang w:eastAsia="uk-UA"/>
              </w:rPr>
              <w:t>іальний захист та соціальне забезпечення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7008,2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6926,7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-81,5</w:t>
            </w:r>
          </w:p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98,8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Культура i мистецтво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5599,6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48,2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98,1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Ф</w:t>
            </w:r>
            <w:proofErr w:type="gramStart"/>
            <w:r w:rsidRPr="00854BDA">
              <w:rPr>
                <w:rFonts w:eastAsia="Times New Roman"/>
                <w:lang w:eastAsia="uk-UA"/>
              </w:rPr>
              <w:t>i</w:t>
            </w:r>
            <w:proofErr w:type="gramEnd"/>
            <w:r w:rsidRPr="00854BDA">
              <w:rPr>
                <w:rFonts w:eastAsia="Times New Roman"/>
                <w:lang w:eastAsia="uk-UA"/>
              </w:rPr>
              <w:t>зична культура i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1742,1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5,3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99,7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6000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Житлово-комунальне господарство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3181,0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96,2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7000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Економічна діяльність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1035,9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100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8000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Інша діяльність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1686,3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97,2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9000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Міжбюджетні трансферти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3345,0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854BDA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100</w:t>
            </w:r>
          </w:p>
        </w:tc>
      </w:tr>
      <w:tr w:rsidR="005E5AB4" w:rsidRPr="00854BDA" w:rsidTr="0051099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AB4" w:rsidRPr="00854BDA" w:rsidRDefault="005E5AB4" w:rsidP="00510997">
            <w:pPr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 xml:space="preserve">Усього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240 880,4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238013,5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2143,9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-2866,9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854BDA">
              <w:rPr>
                <w:rFonts w:eastAsia="Times New Roman"/>
                <w:b/>
                <w:bCs/>
                <w:lang w:eastAsia="uk-UA"/>
              </w:rPr>
              <w:t>98,8</w:t>
            </w:r>
          </w:p>
        </w:tc>
      </w:tr>
      <w:tr w:rsidR="005E5AB4" w:rsidRPr="00854BDA" w:rsidTr="0051099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AB4" w:rsidRPr="00854BDA" w:rsidRDefault="005E5AB4" w:rsidP="00510997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54BDA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5E5AB4" w:rsidRPr="00FF2698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lang w:eastAsia="uk-UA"/>
        </w:rPr>
      </w:pPr>
      <w:proofErr w:type="gramStart"/>
      <w:r w:rsidRPr="00FF2698">
        <w:rPr>
          <w:rFonts w:eastAsia="Times New Roman"/>
          <w:b/>
          <w:bCs/>
          <w:lang w:eastAsia="uk-UA"/>
        </w:rPr>
        <w:t>СПЕЦ</w:t>
      </w:r>
      <w:proofErr w:type="gramEnd"/>
      <w:r w:rsidRPr="00FF2698">
        <w:rPr>
          <w:rFonts w:eastAsia="Times New Roman"/>
          <w:b/>
          <w:bCs/>
          <w:lang w:eastAsia="uk-UA"/>
        </w:rPr>
        <w:t>ІАЛЬНИЙ ФОНД</w:t>
      </w:r>
    </w:p>
    <w:p w:rsidR="005E5AB4" w:rsidRPr="00FF2698" w:rsidRDefault="005E5AB4" w:rsidP="005E5AB4">
      <w:pPr>
        <w:tabs>
          <w:tab w:val="left" w:pos="3810"/>
        </w:tabs>
        <w:jc w:val="center"/>
        <w:rPr>
          <w:rFonts w:eastAsia="Times New Roman"/>
          <w:b/>
          <w:bCs/>
          <w:sz w:val="16"/>
          <w:szCs w:val="16"/>
          <w:lang w:eastAsia="uk-UA"/>
        </w:rPr>
      </w:pPr>
      <w:r w:rsidRPr="00FF2698">
        <w:rPr>
          <w:rFonts w:eastAsia="Times New Roman"/>
          <w:b/>
          <w:bCs/>
          <w:lang w:eastAsia="uk-UA"/>
        </w:rPr>
        <w:t xml:space="preserve">                                                                                                                       </w:t>
      </w:r>
      <w:r w:rsidRPr="00FF2698">
        <w:rPr>
          <w:rFonts w:eastAsia="Times New Roman"/>
          <w:bCs/>
          <w:sz w:val="20"/>
          <w:szCs w:val="20"/>
          <w:lang w:eastAsia="uk-UA"/>
        </w:rPr>
        <w:t>тис</w:t>
      </w:r>
      <w:proofErr w:type="gramStart"/>
      <w:r w:rsidRPr="00FF2698">
        <w:rPr>
          <w:rFonts w:eastAsia="Times New Roman"/>
          <w:bCs/>
          <w:sz w:val="20"/>
          <w:szCs w:val="20"/>
          <w:lang w:eastAsia="uk-UA"/>
        </w:rPr>
        <w:t>.</w:t>
      </w:r>
      <w:proofErr w:type="gramEnd"/>
      <w:r w:rsidRPr="00FF2698">
        <w:rPr>
          <w:rFonts w:eastAsia="Times New Roman"/>
          <w:bCs/>
          <w:sz w:val="20"/>
          <w:szCs w:val="20"/>
          <w:lang w:eastAsia="uk-UA"/>
        </w:rPr>
        <w:t xml:space="preserve"> </w:t>
      </w:r>
      <w:proofErr w:type="gramStart"/>
      <w:r w:rsidRPr="00FF2698">
        <w:rPr>
          <w:rFonts w:eastAsia="Times New Roman"/>
          <w:bCs/>
          <w:sz w:val="20"/>
          <w:szCs w:val="20"/>
          <w:lang w:eastAsia="uk-UA"/>
        </w:rPr>
        <w:t>г</w:t>
      </w:r>
      <w:proofErr w:type="gramEnd"/>
      <w:r w:rsidRPr="00FF2698">
        <w:rPr>
          <w:rFonts w:eastAsia="Times New Roman"/>
          <w:bCs/>
          <w:sz w:val="20"/>
          <w:szCs w:val="20"/>
          <w:lang w:eastAsia="uk-UA"/>
        </w:rPr>
        <w:t>рн</w:t>
      </w:r>
      <w:r w:rsidRPr="00FF2698">
        <w:rPr>
          <w:rFonts w:eastAsia="Times New Roman"/>
          <w:bCs/>
          <w:sz w:val="16"/>
          <w:szCs w:val="16"/>
          <w:lang w:eastAsia="uk-UA"/>
        </w:rPr>
        <w:t>.</w:t>
      </w:r>
    </w:p>
    <w:tbl>
      <w:tblPr>
        <w:tblW w:w="10150" w:type="dxa"/>
        <w:tblInd w:w="-318" w:type="dxa"/>
        <w:tblLayout w:type="fixed"/>
        <w:tblLook w:val="04A0"/>
      </w:tblPr>
      <w:tblGrid>
        <w:gridCol w:w="724"/>
        <w:gridCol w:w="3104"/>
        <w:gridCol w:w="1560"/>
        <w:gridCol w:w="1417"/>
        <w:gridCol w:w="1105"/>
        <w:gridCol w:w="1248"/>
        <w:gridCol w:w="992"/>
      </w:tblGrid>
      <w:tr w:rsidR="005E5AB4" w:rsidRPr="00FF2698" w:rsidTr="00510997">
        <w:trPr>
          <w:trHeight w:val="1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Код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Показник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 xml:space="preserve">План на </w:t>
            </w:r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 xml:space="preserve">ік з урахуван-ням змін*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 xml:space="preserve">Фактично виконано за  </w:t>
            </w:r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ік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Заборгованість на 01.01.24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val="en-US" w:eastAsia="uk-UA"/>
              </w:rPr>
              <w:t>Відхи</w:t>
            </w:r>
            <w:r w:rsidRPr="00FF2698">
              <w:rPr>
                <w:rFonts w:eastAsia="Times New Roman"/>
                <w:b/>
                <w:bCs/>
                <w:lang w:eastAsia="uk-UA"/>
              </w:rPr>
              <w:t>-</w:t>
            </w:r>
            <w:r w:rsidRPr="00FF2698">
              <w:rPr>
                <w:rFonts w:eastAsia="Times New Roman"/>
                <w:b/>
                <w:bCs/>
                <w:lang w:val="en-US" w:eastAsia="uk-UA"/>
              </w:rPr>
              <w:t>лення (</w:t>
            </w:r>
            <w:proofErr w:type="gramStart"/>
            <w:r w:rsidRPr="00FF2698">
              <w:rPr>
                <w:rFonts w:eastAsia="Times New Roman"/>
                <w:b/>
                <w:bCs/>
                <w:lang w:val="en-US" w:eastAsia="uk-UA"/>
              </w:rPr>
              <w:t>+</w:t>
            </w:r>
            <w:r w:rsidRPr="00FF2698">
              <w:rPr>
                <w:rFonts w:eastAsia="Times New Roman"/>
                <w:b/>
                <w:bCs/>
                <w:lang w:eastAsia="uk-UA"/>
              </w:rPr>
              <w:t>;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 xml:space="preserve">% вико-нання за </w:t>
            </w:r>
            <w:proofErr w:type="gramStart"/>
            <w:r w:rsidRPr="00FF2698">
              <w:rPr>
                <w:rFonts w:eastAsia="Times New Roman"/>
                <w:b/>
                <w:bCs/>
                <w:lang w:eastAsia="uk-UA"/>
              </w:rPr>
              <w:t>р</w:t>
            </w:r>
            <w:proofErr w:type="gramEnd"/>
            <w:r w:rsidRPr="00FF2698">
              <w:rPr>
                <w:rFonts w:eastAsia="Times New Roman"/>
                <w:b/>
                <w:bCs/>
                <w:lang w:eastAsia="uk-UA"/>
              </w:rPr>
              <w:t>ік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0100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Державне управління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931,4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614,2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Освіта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3272,1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5675,1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+2403,0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173,4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2000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Охорона здоров</w:t>
            </w:r>
            <w:proofErr w:type="gramStart"/>
            <w:r w:rsidRPr="00FF2698">
              <w:rPr>
                <w:rFonts w:eastAsia="Times New Roman"/>
                <w:lang w:eastAsia="uk-UA"/>
              </w:rPr>
              <w:t>`я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98,7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proofErr w:type="gramStart"/>
            <w:r w:rsidRPr="00FF2698">
              <w:rPr>
                <w:rFonts w:eastAsia="Times New Roman"/>
                <w:lang w:eastAsia="uk-UA"/>
              </w:rPr>
              <w:t>Соц</w:t>
            </w:r>
            <w:proofErr w:type="gramEnd"/>
            <w:r w:rsidRPr="00FF2698">
              <w:rPr>
                <w:rFonts w:eastAsia="Times New Roman"/>
                <w:lang w:eastAsia="uk-UA"/>
              </w:rPr>
              <w:t>іальний захист та соціальне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3405,6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+2913,1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691,5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Культура i мистецтво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16,0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Ф</w:t>
            </w:r>
            <w:proofErr w:type="gramStart"/>
            <w:r w:rsidRPr="00FF2698">
              <w:rPr>
                <w:rFonts w:eastAsia="Times New Roman"/>
                <w:lang w:eastAsia="uk-UA"/>
              </w:rPr>
              <w:t>i</w:t>
            </w:r>
            <w:proofErr w:type="gramEnd"/>
            <w:r w:rsidRPr="00FF2698">
              <w:rPr>
                <w:rFonts w:eastAsia="Times New Roman"/>
                <w:lang w:eastAsia="uk-UA"/>
              </w:rPr>
              <w:t>зична культура i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1209,3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6000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Житлово-комунальне господарство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72,5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7000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Економічна діяльність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2373,7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16975,3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+14601,6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715,1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8000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Інша діяльність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5384,1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4643,6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86,2</w:t>
            </w:r>
          </w:p>
        </w:tc>
      </w:tr>
      <w:tr w:rsidR="005E5AB4" w:rsidRPr="00FF2698" w:rsidTr="0051099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AB4" w:rsidRPr="00FF2698" w:rsidRDefault="005E5AB4" w:rsidP="00510997">
            <w:pPr>
              <w:rPr>
                <w:rFonts w:eastAsia="Times New Roman"/>
                <w:lang w:eastAsia="uk-UA"/>
              </w:rPr>
            </w:pPr>
            <w:r w:rsidRPr="00FF2698">
              <w:rPr>
                <w:rFonts w:eastAsia="Times New Roman"/>
                <w:lang w:eastAsia="uk-UA"/>
              </w:rPr>
              <w:t xml:space="preserve">Усього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11 923,4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31 906,2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-19 982,8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AB4" w:rsidRPr="00FF2698" w:rsidRDefault="005E5AB4" w:rsidP="00510997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FF2698">
              <w:rPr>
                <w:rFonts w:eastAsia="Times New Roman"/>
                <w:b/>
                <w:bCs/>
                <w:lang w:eastAsia="uk-UA"/>
              </w:rPr>
              <w:t>267,6</w:t>
            </w:r>
          </w:p>
        </w:tc>
      </w:tr>
    </w:tbl>
    <w:p w:rsidR="005E5AB4" w:rsidRPr="00D04554" w:rsidRDefault="005E5AB4" w:rsidP="005E5AB4">
      <w:pPr>
        <w:tabs>
          <w:tab w:val="left" w:pos="3810"/>
        </w:tabs>
        <w:ind w:left="720"/>
      </w:pPr>
      <w:r w:rsidRPr="00FF2698">
        <w:t xml:space="preserve">*План на </w:t>
      </w:r>
      <w:proofErr w:type="gramStart"/>
      <w:r w:rsidRPr="00FF2698">
        <w:t>р</w:t>
      </w:r>
      <w:proofErr w:type="gramEnd"/>
      <w:r w:rsidRPr="00FF2698">
        <w:t>ік не включає надходження благодійних внесків, грантів, дарунків та інших надходжень</w:t>
      </w:r>
    </w:p>
    <w:p w:rsidR="000F5608" w:rsidRDefault="000F5608"/>
    <w:sectPr w:rsidR="000F5608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2D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Times New Roman" w:hAnsi="Times New Roman"/>
        <w:sz w:val="28"/>
      </w:rPr>
    </w:lvl>
  </w:abstractNum>
  <w:abstractNum w:abstractNumId="1">
    <w:nsid w:val="00B13C47"/>
    <w:multiLevelType w:val="hybridMultilevel"/>
    <w:tmpl w:val="6E76376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64FA0"/>
    <w:multiLevelType w:val="hybridMultilevel"/>
    <w:tmpl w:val="92B0EF68"/>
    <w:lvl w:ilvl="0" w:tplc="DD4AFB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5932EA"/>
    <w:multiLevelType w:val="hybridMultilevel"/>
    <w:tmpl w:val="76FC2512"/>
    <w:lvl w:ilvl="0" w:tplc="31DAC3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31569AC"/>
    <w:multiLevelType w:val="hybridMultilevel"/>
    <w:tmpl w:val="A57031D8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8DA3AA8"/>
    <w:multiLevelType w:val="hybridMultilevel"/>
    <w:tmpl w:val="CD00FFC8"/>
    <w:lvl w:ilvl="0" w:tplc="C5109DA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E124F"/>
    <w:multiLevelType w:val="hybridMultilevel"/>
    <w:tmpl w:val="1AAA48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C137C"/>
    <w:multiLevelType w:val="hybridMultilevel"/>
    <w:tmpl w:val="FD3A1FAC"/>
    <w:lvl w:ilvl="0" w:tplc="7BCA707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3E21CD"/>
    <w:multiLevelType w:val="hybridMultilevel"/>
    <w:tmpl w:val="DC7E6188"/>
    <w:lvl w:ilvl="0" w:tplc="F3C6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B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5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B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88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33C86"/>
    <w:multiLevelType w:val="singleLevel"/>
    <w:tmpl w:val="5D1A42BA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17C35503"/>
    <w:multiLevelType w:val="hybridMultilevel"/>
    <w:tmpl w:val="EE58245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76537"/>
    <w:multiLevelType w:val="hybridMultilevel"/>
    <w:tmpl w:val="96A6F41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126476"/>
    <w:multiLevelType w:val="hybridMultilevel"/>
    <w:tmpl w:val="32684770"/>
    <w:lvl w:ilvl="0" w:tplc="47AAA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113C0"/>
    <w:multiLevelType w:val="hybridMultilevel"/>
    <w:tmpl w:val="9B98B1B6"/>
    <w:lvl w:ilvl="0" w:tplc="C4AA4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ED879DC"/>
    <w:multiLevelType w:val="hybridMultilevel"/>
    <w:tmpl w:val="791805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CF277C"/>
    <w:multiLevelType w:val="hybridMultilevel"/>
    <w:tmpl w:val="D234C7A6"/>
    <w:lvl w:ilvl="0" w:tplc="30D6D254">
      <w:start w:val="44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130839"/>
    <w:multiLevelType w:val="hybridMultilevel"/>
    <w:tmpl w:val="22FA33DC"/>
    <w:lvl w:ilvl="0" w:tplc="0422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EA9400E"/>
    <w:multiLevelType w:val="hybridMultilevel"/>
    <w:tmpl w:val="420AD6C0"/>
    <w:lvl w:ilvl="0" w:tplc="0422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2FE35680"/>
    <w:multiLevelType w:val="hybridMultilevel"/>
    <w:tmpl w:val="4A6810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FA5309"/>
    <w:multiLevelType w:val="hybridMultilevel"/>
    <w:tmpl w:val="2710E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D4D95"/>
    <w:multiLevelType w:val="hybridMultilevel"/>
    <w:tmpl w:val="0262E71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00B2A96"/>
    <w:multiLevelType w:val="hybridMultilevel"/>
    <w:tmpl w:val="3B1AB9C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0800C9"/>
    <w:multiLevelType w:val="hybridMultilevel"/>
    <w:tmpl w:val="BAA4DB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3A5"/>
    <w:multiLevelType w:val="hybridMultilevel"/>
    <w:tmpl w:val="055CE564"/>
    <w:lvl w:ilvl="0" w:tplc="0422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325F0"/>
    <w:multiLevelType w:val="hybridMultilevel"/>
    <w:tmpl w:val="C2803CAA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792C7D"/>
    <w:multiLevelType w:val="hybridMultilevel"/>
    <w:tmpl w:val="79EA91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12E7"/>
    <w:multiLevelType w:val="hybridMultilevel"/>
    <w:tmpl w:val="A770EB62"/>
    <w:lvl w:ilvl="0" w:tplc="04220009">
      <w:start w:val="1"/>
      <w:numFmt w:val="bullet"/>
      <w:lvlText w:val=""/>
      <w:lvlJc w:val="left"/>
      <w:pPr>
        <w:ind w:left="33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67247"/>
    <w:multiLevelType w:val="hybridMultilevel"/>
    <w:tmpl w:val="C64851F6"/>
    <w:lvl w:ilvl="0" w:tplc="0422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43FFB"/>
    <w:multiLevelType w:val="hybridMultilevel"/>
    <w:tmpl w:val="DF206A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7697"/>
    <w:multiLevelType w:val="hybridMultilevel"/>
    <w:tmpl w:val="7870E822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2C03D37"/>
    <w:multiLevelType w:val="hybridMultilevel"/>
    <w:tmpl w:val="4EAC874A"/>
    <w:lvl w:ilvl="0" w:tplc="C5109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C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9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E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3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35389"/>
    <w:multiLevelType w:val="hybridMultilevel"/>
    <w:tmpl w:val="9238F03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0D62E7"/>
    <w:multiLevelType w:val="hybridMultilevel"/>
    <w:tmpl w:val="008651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3D46041"/>
    <w:multiLevelType w:val="hybridMultilevel"/>
    <w:tmpl w:val="06AC73B0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FC1065"/>
    <w:multiLevelType w:val="hybridMultilevel"/>
    <w:tmpl w:val="6E30B364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7B6E51"/>
    <w:multiLevelType w:val="hybridMultilevel"/>
    <w:tmpl w:val="3E62B83E"/>
    <w:lvl w:ilvl="0" w:tplc="C6121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7666C3"/>
    <w:multiLevelType w:val="hybridMultilevel"/>
    <w:tmpl w:val="5CD6E35C"/>
    <w:lvl w:ilvl="0" w:tplc="F0EE9EE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7B594C88"/>
    <w:multiLevelType w:val="hybridMultilevel"/>
    <w:tmpl w:val="0284F8D0"/>
    <w:lvl w:ilvl="0" w:tplc="0422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0A25"/>
    <w:multiLevelType w:val="hybridMultilevel"/>
    <w:tmpl w:val="DA22E27C"/>
    <w:lvl w:ilvl="0" w:tplc="0422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D876A54"/>
    <w:multiLevelType w:val="hybridMultilevel"/>
    <w:tmpl w:val="CBA400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25"/>
  </w:num>
  <w:num w:numId="5">
    <w:abstractNumId w:val="21"/>
  </w:num>
  <w:num w:numId="6">
    <w:abstractNumId w:val="7"/>
  </w:num>
  <w:num w:numId="7">
    <w:abstractNumId w:val="20"/>
  </w:num>
  <w:num w:numId="8">
    <w:abstractNumId w:val="26"/>
  </w:num>
  <w:num w:numId="9">
    <w:abstractNumId w:val="8"/>
  </w:num>
  <w:num w:numId="10">
    <w:abstractNumId w:val="37"/>
  </w:num>
  <w:num w:numId="11">
    <w:abstractNumId w:val="29"/>
  </w:num>
  <w:num w:numId="12">
    <w:abstractNumId w:val="17"/>
  </w:num>
  <w:num w:numId="13">
    <w:abstractNumId w:val="16"/>
  </w:num>
  <w:num w:numId="14">
    <w:abstractNumId w:val="14"/>
  </w:num>
  <w:num w:numId="15">
    <w:abstractNumId w:val="28"/>
  </w:num>
  <w:num w:numId="16">
    <w:abstractNumId w:val="18"/>
  </w:num>
  <w:num w:numId="17">
    <w:abstractNumId w:val="10"/>
  </w:num>
  <w:num w:numId="18">
    <w:abstractNumId w:val="24"/>
  </w:num>
  <w:num w:numId="19">
    <w:abstractNumId w:val="0"/>
  </w:num>
  <w:num w:numId="20">
    <w:abstractNumId w:val="9"/>
  </w:num>
  <w:num w:numId="21">
    <w:abstractNumId w:val="42"/>
  </w:num>
  <w:num w:numId="22">
    <w:abstractNumId w:val="31"/>
  </w:num>
  <w:num w:numId="23">
    <w:abstractNumId w:val="38"/>
  </w:num>
  <w:num w:numId="24">
    <w:abstractNumId w:val="6"/>
  </w:num>
  <w:num w:numId="25">
    <w:abstractNumId w:val="35"/>
  </w:num>
  <w:num w:numId="26">
    <w:abstractNumId w:val="44"/>
  </w:num>
  <w:num w:numId="27">
    <w:abstractNumId w:val="1"/>
  </w:num>
  <w:num w:numId="28">
    <w:abstractNumId w:val="19"/>
  </w:num>
  <w:num w:numId="29">
    <w:abstractNumId w:val="5"/>
  </w:num>
  <w:num w:numId="30">
    <w:abstractNumId w:val="34"/>
  </w:num>
  <w:num w:numId="31">
    <w:abstractNumId w:val="41"/>
  </w:num>
  <w:num w:numId="32">
    <w:abstractNumId w:val="43"/>
  </w:num>
  <w:num w:numId="33">
    <w:abstractNumId w:val="4"/>
  </w:num>
  <w:num w:numId="34">
    <w:abstractNumId w:val="23"/>
  </w:num>
  <w:num w:numId="35">
    <w:abstractNumId w:val="12"/>
  </w:num>
  <w:num w:numId="36">
    <w:abstractNumId w:val="39"/>
  </w:num>
  <w:num w:numId="37">
    <w:abstractNumId w:val="36"/>
  </w:num>
  <w:num w:numId="38">
    <w:abstractNumId w:val="15"/>
  </w:num>
  <w:num w:numId="39">
    <w:abstractNumId w:val="22"/>
  </w:num>
  <w:num w:numId="40">
    <w:abstractNumId w:val="40"/>
  </w:num>
  <w:num w:numId="41">
    <w:abstractNumId w:val="27"/>
  </w:num>
  <w:num w:numId="42">
    <w:abstractNumId w:val="11"/>
  </w:num>
  <w:num w:numId="43">
    <w:abstractNumId w:val="32"/>
  </w:num>
  <w:num w:numId="44">
    <w:abstractNumId w:val="3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5E5AB4"/>
    <w:rsid w:val="000F5608"/>
    <w:rsid w:val="005E5AB4"/>
    <w:rsid w:val="0086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5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5A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5AB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7">
    <w:name w:val="rvts7"/>
    <w:basedOn w:val="a0"/>
    <w:rsid w:val="005E5AB4"/>
  </w:style>
  <w:style w:type="character" w:styleId="a3">
    <w:name w:val="Strong"/>
    <w:basedOn w:val="a0"/>
    <w:qFormat/>
    <w:rsid w:val="005E5AB4"/>
    <w:rPr>
      <w:rFonts w:cs="Times New Roman"/>
      <w:b/>
      <w:bCs/>
    </w:rPr>
  </w:style>
  <w:style w:type="paragraph" w:customStyle="1" w:styleId="NoSpacing1">
    <w:name w:val="No Spacing1"/>
    <w:rsid w:val="005E5AB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76">
    <w:name w:val="rvps76"/>
    <w:basedOn w:val="a"/>
    <w:rsid w:val="005E5AB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9">
    <w:name w:val="rvps29"/>
    <w:basedOn w:val="a"/>
    <w:rsid w:val="005E5AB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No Spacing"/>
    <w:uiPriority w:val="1"/>
    <w:qFormat/>
    <w:rsid w:val="005E5AB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(2)_"/>
    <w:link w:val="22"/>
    <w:rsid w:val="005E5A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AB4"/>
    <w:pPr>
      <w:widowControl w:val="0"/>
      <w:shd w:val="clear" w:color="auto" w:fill="FFFFFF"/>
      <w:spacing w:before="600" w:after="300" w:line="326" w:lineRule="exact"/>
      <w:jc w:val="both"/>
    </w:pPr>
    <w:rPr>
      <w:rFonts w:eastAsia="Times New Roman" w:cstheme="minorBidi"/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5E5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B4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E5AB4"/>
    <w:pPr>
      <w:ind w:left="720"/>
      <w:contextualSpacing/>
    </w:pPr>
  </w:style>
  <w:style w:type="paragraph" w:customStyle="1" w:styleId="rvps2">
    <w:name w:val="rvps2"/>
    <w:basedOn w:val="a"/>
    <w:rsid w:val="005E5AB4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2">
    <w:name w:val="Char Style 22"/>
    <w:link w:val="Style21"/>
    <w:rsid w:val="005E5AB4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5E5AB4"/>
    <w:pPr>
      <w:widowControl w:val="0"/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ListParagraph1">
    <w:name w:val="List Paragraph1"/>
    <w:basedOn w:val="a"/>
    <w:rsid w:val="005E5AB4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nhideWhenUsed/>
    <w:rsid w:val="005E5AB4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Нормальный"/>
    <w:rsid w:val="005E5AB4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character" w:customStyle="1" w:styleId="markedcontent">
    <w:name w:val="markedcontent"/>
    <w:rsid w:val="005E5AB4"/>
  </w:style>
  <w:style w:type="paragraph" w:customStyle="1" w:styleId="1">
    <w:name w:val="Обычный (Интернет)1"/>
    <w:aliases w:val="Знак"/>
    <w:basedOn w:val="a"/>
    <w:link w:val="aa"/>
    <w:rsid w:val="005E5AB4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uiPriority w:val="99"/>
    <w:rsid w:val="005E5AB4"/>
    <w:rPr>
      <w:color w:val="0000FF"/>
      <w:u w:val="single"/>
    </w:rPr>
  </w:style>
  <w:style w:type="paragraph" w:customStyle="1" w:styleId="10">
    <w:name w:val="Обычный1"/>
    <w:rsid w:val="005E5AB4"/>
    <w:pPr>
      <w:snapToGrid w:val="0"/>
      <w:spacing w:after="0" w:line="240" w:lineRule="auto"/>
      <w:ind w:left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E5AB4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E5A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E5AB4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E5A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5E5AB4"/>
    <w:pPr>
      <w:ind w:hanging="142"/>
    </w:pPr>
    <w:rPr>
      <w:rFonts w:eastAsia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E5A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бычный (веб) Знак"/>
    <w:aliases w:val="Знак Знак1"/>
    <w:link w:val="1"/>
    <w:locked/>
    <w:rsid w:val="005E5A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1"/>
    <w:rsid w:val="005E5AB4"/>
    <w:pPr>
      <w:spacing w:before="100" w:beforeAutospacing="1" w:after="100" w:afterAutospacing="1"/>
    </w:pPr>
    <w:rPr>
      <w:rFonts w:eastAsia="Times New Roman"/>
    </w:rPr>
  </w:style>
  <w:style w:type="paragraph" w:styleId="af2">
    <w:name w:val="caption"/>
    <w:basedOn w:val="a"/>
    <w:next w:val="a"/>
    <w:qFormat/>
    <w:rsid w:val="005E5AB4"/>
    <w:pPr>
      <w:jc w:val="center"/>
    </w:pPr>
    <w:rPr>
      <w:rFonts w:eastAsia="Times New Roman"/>
      <w:b/>
      <w:bCs/>
      <w:sz w:val="28"/>
      <w:lang w:val="uk-UA" w:eastAsia="uk-UA"/>
    </w:rPr>
  </w:style>
  <w:style w:type="paragraph" w:customStyle="1" w:styleId="af3">
    <w:name w:val="Нормальний текст"/>
    <w:basedOn w:val="a"/>
    <w:rsid w:val="005E5AB4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4">
    <w:name w:val="Абзац списку"/>
    <w:basedOn w:val="a"/>
    <w:qFormat/>
    <w:rsid w:val="005E5AB4"/>
    <w:pPr>
      <w:spacing w:before="120" w:after="120"/>
      <w:ind w:left="720" w:firstLine="709"/>
      <w:contextualSpacing/>
      <w:jc w:val="both"/>
    </w:pPr>
    <w:rPr>
      <w:lang w:val="uk-UA"/>
    </w:rPr>
  </w:style>
  <w:style w:type="paragraph" w:styleId="af5">
    <w:name w:val="Title"/>
    <w:basedOn w:val="a"/>
    <w:link w:val="af6"/>
    <w:qFormat/>
    <w:rsid w:val="005E5AB4"/>
    <w:pPr>
      <w:jc w:val="center"/>
    </w:pPr>
    <w:rPr>
      <w:rFonts w:eastAsia="Times New Roman"/>
    </w:rPr>
  </w:style>
  <w:style w:type="character" w:customStyle="1" w:styleId="af6">
    <w:name w:val="Название Знак"/>
    <w:basedOn w:val="a0"/>
    <w:link w:val="af5"/>
    <w:rsid w:val="005E5A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5E5AB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E5AB4"/>
    <w:rPr>
      <w:rFonts w:eastAsia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E5A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5AB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E5AB4"/>
    <w:rPr>
      <w:b/>
      <w:bCs/>
    </w:rPr>
  </w:style>
  <w:style w:type="table" w:styleId="afc">
    <w:name w:val="Table Grid"/>
    <w:basedOn w:val="a1"/>
    <w:uiPriority w:val="39"/>
    <w:rsid w:val="005E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hyperlink" Target="https://www.president.gov.ua/documents/642022-41397" TargetMode="Externa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363808690580636E-2"/>
          <c:y val="6.9444444444445542E-3"/>
          <c:w val="0.71453977107028288"/>
          <c:h val="0.99305555555555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1385134149897982"/>
                  <c:y val="-1.0769591301087627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2D-4FD2-8A29-BA7EFAE3496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80679498396824E-2"/>
                  <c:y val="6.3183352080989866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2D-4FD2-8A29-BA7EFAE3496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468157626130066"/>
                  <c:y val="-0.34293275840519677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62D-4FD2-8A29-BA7EFAE3496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Податкові надходження</c:v>
                </c:pt>
                <c:pt idx="1">
                  <c:v>Неподаткові надходження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69960</c:v>
                </c:pt>
                <c:pt idx="1">
                  <c:v>1469.8</c:v>
                </c:pt>
                <c:pt idx="2">
                  <c:v>167321.5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2D-4FD2-8A29-BA7EFAE3496E}"/>
            </c:ext>
          </c:extLst>
        </c:ser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1"/>
      <c:hPercent val="85"/>
      <c:rotY val="20"/>
      <c:perspective val="0"/>
    </c:view3D>
    <c:plotArea>
      <c:layout>
        <c:manualLayout>
          <c:layoutTarget val="inner"/>
          <c:xMode val="edge"/>
          <c:yMode val="edge"/>
          <c:x val="1.9556062863149411E-4"/>
          <c:y val="0.13019480519480522"/>
          <c:w val="0.99910877233711881"/>
          <c:h val="0.553138528138528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FAB-434C-94B8-7F9F67BA171E}"/>
              </c:ext>
            </c:extLst>
          </c:dPt>
          <c:dLbls>
            <c:dLbl>
              <c:idx val="0"/>
              <c:layout>
                <c:manualLayout>
                  <c:x val="-0.29230271485710163"/>
                  <c:y val="-0.42238690751891739"/>
                </c:manualLayout>
              </c:layout>
              <c:tx>
                <c:rich>
                  <a:bodyPr/>
                  <a:lstStyle/>
                  <a:p>
                    <a:pPr>
                      <a:defRPr lang="ru-RU" sz="14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Times New Roman"/>
                        <a:cs typeface="Times New Roman" pitchFamily="18" charset="0"/>
                      </a:defRPr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217 793,1; 88,2%
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AB-434C-94B8-7F9F67BA171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139689973267944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lang="ru-RU" sz="14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Times New Roman"/>
                        <a:cs typeface="Times New Roman" pitchFamily="18" charset="0"/>
                      </a:defRPr>
                    </a:pPr>
                    <a:r>
                      <a:rPr lang="en-US"/>
                      <a:t>31906,2; 11,8%</a:t>
                    </a:r>
                  </a:p>
                </c:rich>
              </c:tx>
              <c:numFmt formatCode="0%" sourceLinked="0"/>
              <c:spPr>
                <a:noFill/>
                <a:ln w="25370">
                  <a:noFill/>
                </a:ln>
              </c:spPr>
              <c:showLegendKey val="1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AB-434C-94B8-7F9F67BA171E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lang="ru-RU"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uk-UA"/>
              </a:p>
            </c:txPr>
            <c:showLegendKey val="1"/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Загальний фонд</c:v>
                </c:pt>
                <c:pt idx="1">
                  <c:v>Спеціальний фонд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238013.5</c:v>
                </c:pt>
                <c:pt idx="1">
                  <c:v>31906.2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AB-434C-94B8-7F9F67BA171E}"/>
            </c:ext>
          </c:extLst>
        </c:ser>
      </c:pie3D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1009370143228546E-2"/>
          <c:y val="0.82025599072843169"/>
          <c:w val="0.83100047076425032"/>
          <c:h val="0.10710592994057697"/>
        </c:manualLayout>
      </c:layout>
      <c:txPr>
        <a:bodyPr/>
        <a:lstStyle/>
        <a:p>
          <a:pPr>
            <a:defRPr lang="ru-RU"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</c:chart>
  <c:spPr>
    <a:pattFill prst="dkUpDiag">
      <a:fgClr>
        <a:srgbClr val="FFFF00"/>
      </a:fgClr>
      <a:bgClr>
        <a:srgbClr val="FFFFFF"/>
      </a:bgClr>
    </a:pattFill>
    <a:ln>
      <a:noFill/>
    </a:ln>
  </c:spPr>
  <c:txPr>
    <a:bodyPr/>
    <a:lstStyle/>
    <a:p>
      <a:pPr>
        <a:defRPr sz="1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23380452443444569"/>
          <c:y val="9.5652442178907143E-2"/>
          <c:w val="0.58794650668666359"/>
          <c:h val="0.893083301296198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Освіта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8144919385076866E-2"/>
                  <c:y val="-0.20831826401446904"/>
                </c:manualLayout>
              </c:layout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E40-4163-A75B-52AA39D570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552165354333159E-2"/>
                  <c:y val="0.32308880693711556"/>
                </c:manualLayout>
              </c:layout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40-4163-A75B-52AA39D570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1158995750531404"/>
                  <c:y val="0.12206148282097649"/>
                </c:manualLayout>
              </c:layout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E40-4163-A75B-52AA39D570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9398825146858943E-2"/>
                  <c:y val="1.3465089015771965E-3"/>
                </c:manualLayout>
              </c:layout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40-4163-A75B-52AA39D570E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2529449443819824"/>
                  <c:y val="1.2055455093429777E-2"/>
                </c:manualLayout>
              </c:layout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E40-4163-A75B-52AA39D570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80.2</c:v>
                </c:pt>
                <c:pt idx="1">
                  <c:v>7.8</c:v>
                </c:pt>
                <c:pt idx="2">
                  <c:v>2</c:v>
                </c:pt>
                <c:pt idx="3">
                  <c:v>2.9</c:v>
                </c:pt>
                <c:pt idx="4">
                  <c:v>2.2999999999999998</c:v>
                </c:pt>
                <c:pt idx="5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40-4163-A75B-52AA39D570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40-4163-A75B-52AA39D570E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E40-4163-A75B-52AA39D570E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E40-4163-A75B-52AA39D570E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40-4163-A75B-52AA39D570E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E40-4163-A75B-52AA39D570E5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20424011480054091"/>
          <c:y val="0.33399119729117638"/>
          <c:w val="0.6008230751598983"/>
          <c:h val="0.421878989348129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dLbls>
            <c:dLbl>
              <c:idx val="0"/>
              <c:layout>
                <c:manualLayout>
                  <c:x val="-2.2070384479802058E-2"/>
                  <c:y val="5.7394809555410924E-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Заробітна плата з нарахуваннями; 200 355,4</a:t>
                    </a:r>
                  </a:p>
                </c:rich>
              </c:tx>
              <c:spPr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7C-4657-85A7-3BCAB38B8D08}"/>
                </c:ext>
                <c:ext xmlns:c15="http://schemas.microsoft.com/office/drawing/2012/chart" uri="{CE6537A1-D6FC-4f65-9D91-7224C49458BB}">
                  <c15:layout>
                    <c:manualLayout>
                      <c:w val="0.34658409891899655"/>
                      <c:h val="0.2064044561666955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2116299115747312"/>
                  <c:y val="-2.9147645454824574E-2"/>
                </c:manualLayout>
              </c:layout>
              <c:spPr/>
              <c:txPr>
                <a:bodyPr/>
                <a:lstStyle/>
                <a:p>
                  <a:pPr>
                    <a:defRPr lang="ru-RU"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uk-UA"/>
                </a:p>
              </c:txPr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7C-4657-85A7-3BCAB38B8D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588288347777463E-2"/>
                  <c:y val="-0.1174226031289634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/>
                      <a:t>Комунальні послуги та енергоносії; 16208,6</a:t>
                    </a:r>
                  </a:p>
                </c:rich>
              </c:tx>
              <c:spPr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7C-4657-85A7-3BCAB38B8D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999509286431774"/>
                  <c:y val="-0.2262015278245842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Продукти харчування; 2735,0</a:t>
                    </a:r>
                  </a:p>
                </c:rich>
              </c:tx>
              <c:spPr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7C-4657-85A7-3BCAB38B8D0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3612039269999655"/>
                  <c:y val="-2.3834472052861152E-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 sz="1200"/>
                      <a:t>Оплата медикаментів та перев`язувальних матеріалів; 73,5</a:t>
                    </a:r>
                  </a:p>
                </c:rich>
              </c:tx>
              <c:spPr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7C-4657-85A7-3BCAB38B8D08}"/>
                </c:ext>
                <c:ext xmlns:c15="http://schemas.microsoft.com/office/drawing/2012/chart" uri="{CE6537A1-D6FC-4f65-9D91-7224C49458BB}">
                  <c15:layout>
                    <c:manualLayout>
                      <c:w val="0.22604542974563605"/>
                      <c:h val="0.1887159533073929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Заробітна плата з нарахуваннями</c:v>
                </c:pt>
                <c:pt idx="1">
                  <c:v>Трансферти населенню</c:v>
                </c:pt>
                <c:pt idx="2">
                  <c:v>Комунальні послуги та енергоносії</c:v>
                </c:pt>
                <c:pt idx="3">
                  <c:v>Продукти харчування</c:v>
                </c:pt>
                <c:pt idx="4">
                  <c:v>Оплата медикаментів та перев`язувальних матеріалів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200355.4</c:v>
                </c:pt>
                <c:pt idx="1">
                  <c:v>2370</c:v>
                </c:pt>
                <c:pt idx="2">
                  <c:v>6208.6</c:v>
                </c:pt>
                <c:pt idx="3">
                  <c:v>2735</c:v>
                </c:pt>
                <c:pt idx="4">
                  <c:v>73.5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7C-4657-85A7-3BCAB38B8D08}"/>
            </c:ext>
          </c:extLst>
        </c:ser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Y val="350"/>
      <c:perspective val="0"/>
    </c:view3D>
    <c:plotArea>
      <c:layout>
        <c:manualLayout>
          <c:layoutTarget val="inner"/>
          <c:xMode val="edge"/>
          <c:yMode val="edge"/>
          <c:x val="2.3860908748828482E-2"/>
          <c:y val="2.9613369485104561E-2"/>
          <c:w val="0.97020261158361465"/>
          <c:h val="0.425844514035494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explosion val="30"/>
          <c:dPt>
            <c:idx val="0"/>
            <c:explosion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0-5276-40E8-B248-CDCAFA3BD4A2}"/>
              </c:ext>
            </c:extLst>
          </c:dPt>
          <c:dPt>
            <c:idx val="1"/>
            <c:explosion val="3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76-40E8-B248-CDCAFA3BD4A2}"/>
              </c:ext>
            </c:extLst>
          </c:dPt>
          <c:dPt>
            <c:idx val="2"/>
            <c:explosion val="31"/>
            <c:spPr>
              <a:solidFill>
                <a:srgbClr val="FFFFCC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276-40E8-B248-CDCAFA3BD4A2}"/>
              </c:ext>
            </c:extLst>
          </c:dPt>
          <c:dPt>
            <c:idx val="3"/>
            <c:explosion val="31"/>
            <c:spPr>
              <a:solidFill>
                <a:srgbClr val="CCFFFF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76-40E8-B248-CDCAFA3BD4A2}"/>
              </c:ext>
            </c:extLst>
          </c:dPt>
          <c:dPt>
            <c:idx val="4"/>
            <c:spPr>
              <a:solidFill>
                <a:srgbClr val="660066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276-40E8-B248-CDCAFA3BD4A2}"/>
              </c:ext>
            </c:extLst>
          </c:dPt>
          <c:dPt>
            <c:idx val="5"/>
            <c:spPr>
              <a:solidFill>
                <a:srgbClr val="FF8080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76-40E8-B248-CDCAFA3BD4A2}"/>
              </c:ext>
            </c:extLst>
          </c:dPt>
          <c:dPt>
            <c:idx val="6"/>
            <c:spPr>
              <a:solidFill>
                <a:srgbClr val="0066CC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276-40E8-B248-CDCAFA3BD4A2}"/>
              </c:ext>
            </c:extLst>
          </c:dPt>
          <c:dLbls>
            <c:dLbl>
              <c:idx val="0"/>
              <c:layout>
                <c:manualLayout>
                  <c:x val="0.14781548462580713"/>
                  <c:y val="3.4113329337769789E-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 i="1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12,5%</a:t>
                    </a:r>
                  </a:p>
                </c:rich>
              </c:tx>
              <c:numFmt formatCode="0.00%" sourceLinked="0"/>
              <c:spPr>
                <a:noFill/>
                <a:ln w="25428">
                  <a:noFill/>
                </a:ln>
              </c:spPr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73831187397212"/>
                  <c:y val="-0.17458557197504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82,7%</a:t>
                    </a:r>
                  </a:p>
                </c:rich>
              </c:tx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565186652026071"/>
                  <c:y val="5.4232025130717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929518643304518"/>
                  <c:y val="1.3753005283788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581188078546474"/>
                  <c:y val="-5.0566784466902333E-2"/>
                </c:manualLayout>
              </c:layout>
              <c:tx>
                <c:rich>
                  <a:bodyPr/>
                  <a:lstStyle/>
                  <a:p>
                    <a:pPr>
                      <a:defRPr lang="ru-RU" sz="12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1,4%</a:t>
                    </a:r>
                  </a:p>
                </c:rich>
              </c:tx>
              <c:spPr>
                <a:noFill/>
                <a:ln w="25428">
                  <a:noFill/>
                </a:ln>
              </c:spPr>
              <c:dLblPos val="bestFit"/>
              <c:showVal val="1"/>
              <c:showSer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327276879425261E-2"/>
                  <c:y val="-4.47964673707137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931151633459412E-2"/>
                  <c:y val="-4.42351940259439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dLblPos val="bestFit"/>
              <c:showVal val="1"/>
              <c:showSer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276-40E8-B248-CDCAFA3BD4A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6389308606984321"/>
                  <c:y val="-4.4235194025943933E-2"/>
                </c:manualLayout>
              </c:layout>
              <c:tx>
                <c:rich>
                  <a:bodyPr/>
                  <a:lstStyle/>
                  <a:p>
                    <a:r>
                      <a:t>0,2%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276-40E8-B248-CDCAFA3BD4A2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lang="ru-RU"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showSer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Дошкільна освіта</c:v>
                </c:pt>
                <c:pt idx="1">
                  <c:v>Загальна середня освіта</c:v>
                </c:pt>
                <c:pt idx="2">
                  <c:v>Дитяча школа мистецтв</c:v>
                </c:pt>
                <c:pt idx="3">
                  <c:v>Методичне забезпечення закладів освіти</c:v>
                </c:pt>
                <c:pt idx="4">
                  <c:v>Інші заклади освіти</c:v>
                </c:pt>
                <c:pt idx="5">
                  <c:v>Програми та заходи</c:v>
                </c:pt>
                <c:pt idx="6">
                  <c:v>Інклюзивно-ресурсний центр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23947.3</c:v>
                </c:pt>
                <c:pt idx="1">
                  <c:v>157974.39999999962</c:v>
                </c:pt>
                <c:pt idx="2">
                  <c:v>3463.1</c:v>
                </c:pt>
                <c:pt idx="3">
                  <c:v>1100.8</c:v>
                </c:pt>
                <c:pt idx="4">
                  <c:v>2674.3</c:v>
                </c:pt>
                <c:pt idx="5">
                  <c:v>110</c:v>
                </c:pt>
                <c:pt idx="6">
                  <c:v>1700.4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276-40E8-B248-CDCAFA3BD4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31"/>
          <c:dPt>
            <c:idx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276-40E8-B248-CDCAFA3BD4A2}"/>
              </c:ext>
            </c:extLst>
          </c:dPt>
          <c:dPt>
            <c:idx val="2"/>
            <c:spPr>
              <a:solidFill>
                <a:srgbClr val="FFFFCC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276-40E8-B248-CDCAFA3BD4A2}"/>
              </c:ext>
            </c:extLst>
          </c:dPt>
          <c:dPt>
            <c:idx val="3"/>
            <c:spPr>
              <a:solidFill>
                <a:srgbClr val="CCFFFF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276-40E8-B248-CDCAFA3BD4A2}"/>
              </c:ext>
            </c:extLst>
          </c:dPt>
          <c:dPt>
            <c:idx val="4"/>
            <c:spPr>
              <a:solidFill>
                <a:srgbClr val="660066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5276-40E8-B248-CDCAFA3BD4A2}"/>
              </c:ext>
            </c:extLst>
          </c:dPt>
          <c:dPt>
            <c:idx val="5"/>
            <c:spPr>
              <a:solidFill>
                <a:srgbClr val="FF8080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276-40E8-B248-CDCAFA3BD4A2}"/>
              </c:ext>
            </c:extLst>
          </c:dPt>
          <c:dPt>
            <c:idx val="6"/>
            <c:spPr>
              <a:solidFill>
                <a:srgbClr val="0066CC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5276-40E8-B248-CDCAFA3BD4A2}"/>
              </c:ext>
            </c:extLst>
          </c:dPt>
          <c:cat>
            <c:strRef>
              <c:f>Sheet1!$B$1:$H$1</c:f>
              <c:strCache>
                <c:ptCount val="7"/>
                <c:pt idx="0">
                  <c:v>Дошкільна освіта</c:v>
                </c:pt>
                <c:pt idx="1">
                  <c:v>Загальна середня освіта</c:v>
                </c:pt>
                <c:pt idx="2">
                  <c:v>Дитяча школа мистецтв</c:v>
                </c:pt>
                <c:pt idx="3">
                  <c:v>Методичне забезпечення закладів освіти</c:v>
                </c:pt>
                <c:pt idx="4">
                  <c:v>Інші заклади освіти</c:v>
                </c:pt>
                <c:pt idx="5">
                  <c:v>Програми та заходи</c:v>
                </c:pt>
                <c:pt idx="6">
                  <c:v>Інклюзивно-ресурсний центр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276-40E8-B248-CDCAFA3BD4A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31"/>
          <c:dPt>
            <c:idx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276-40E8-B248-CDCAFA3BD4A2}"/>
              </c:ext>
            </c:extLst>
          </c:dPt>
          <c:dPt>
            <c:idx val="1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5276-40E8-B248-CDCAFA3BD4A2}"/>
              </c:ext>
            </c:extLst>
          </c:dPt>
          <c:dPt>
            <c:idx val="3"/>
            <c:spPr>
              <a:solidFill>
                <a:srgbClr val="CCFFFF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276-40E8-B248-CDCAFA3BD4A2}"/>
              </c:ext>
            </c:extLst>
          </c:dPt>
          <c:dPt>
            <c:idx val="4"/>
            <c:spPr>
              <a:solidFill>
                <a:srgbClr val="660066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5276-40E8-B248-CDCAFA3BD4A2}"/>
              </c:ext>
            </c:extLst>
          </c:dPt>
          <c:dPt>
            <c:idx val="5"/>
            <c:spPr>
              <a:solidFill>
                <a:srgbClr val="FF8080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276-40E8-B248-CDCAFA3BD4A2}"/>
              </c:ext>
            </c:extLst>
          </c:dPt>
          <c:dPt>
            <c:idx val="6"/>
            <c:spPr>
              <a:solidFill>
                <a:srgbClr val="0066CC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5276-40E8-B248-CDCAFA3BD4A2}"/>
              </c:ext>
            </c:extLst>
          </c:dPt>
          <c:cat>
            <c:strRef>
              <c:f>Sheet1!$B$1:$H$1</c:f>
              <c:strCache>
                <c:ptCount val="7"/>
                <c:pt idx="0">
                  <c:v>Дошкільна освіта</c:v>
                </c:pt>
                <c:pt idx="1">
                  <c:v>Загальна середня освіта</c:v>
                </c:pt>
                <c:pt idx="2">
                  <c:v>Дитяча школа мистецтв</c:v>
                </c:pt>
                <c:pt idx="3">
                  <c:v>Методичне забезпечення закладів освіти</c:v>
                </c:pt>
                <c:pt idx="4">
                  <c:v>Інші заклади освіти</c:v>
                </c:pt>
                <c:pt idx="5">
                  <c:v>Програми та заходи</c:v>
                </c:pt>
                <c:pt idx="6">
                  <c:v>Інклюзивно-ресурсний центр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5276-40E8-B248-CDCAFA3BD4A2}"/>
            </c:ext>
          </c:extLst>
        </c:ser>
      </c:pie3DChart>
      <c:spPr>
        <a:solidFill>
          <a:srgbClr val="C0C0C0"/>
        </a:solidFill>
        <a:ln w="1271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03851388567652E-2"/>
          <c:y val="0.48303848295964852"/>
          <c:w val="0.94898086537045734"/>
          <c:h val="0.41167755555333219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12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view3D>
      <c:hPercent val="74"/>
      <c:depthPercent val="100"/>
      <c:rAngAx val="1"/>
    </c:view3D>
    <c:plotArea>
      <c:layout>
        <c:manualLayout>
          <c:layoutTarget val="inner"/>
          <c:xMode val="edge"/>
          <c:yMode val="edge"/>
          <c:x val="8.0157687253613663E-2"/>
          <c:y val="4.1994750656167965E-2"/>
          <c:w val="0.57161629434954064"/>
          <c:h val="0.821522309711275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КНП "Верховинська багапропрофільна лікарня"</c:v>
                </c:pt>
              </c:strCache>
            </c:strRef>
          </c:tx>
          <c:dLbls>
            <c:dLbl>
              <c:idx val="0"/>
              <c:layout>
                <c:manualLayout>
                  <c:x val="9.5702099737532867E-2"/>
                  <c:y val="2.587561048539884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19E-490D-950A-3360CD3CBF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929729144681744E-2"/>
                  <c:y val="1.520017276321491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9E-490D-950A-3360CD3CBF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4297.2</c:v>
                </c:pt>
                <c:pt idx="1">
                  <c:v>3819.4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E-490D-950A-3360CD3CBF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КНП "Верховинський центр надання первинної медико-санітарної допомоги"</c:v>
                </c:pt>
              </c:strCache>
            </c:strRef>
          </c:tx>
          <c:dLbls>
            <c:dLbl>
              <c:idx val="0"/>
              <c:layout>
                <c:manualLayout>
                  <c:x val="1.9017371539897725E-2"/>
                  <c:y val="-1.084421409349148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242,0
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9E-490D-950A-3360CD3CBF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168756933733727E-2"/>
                  <c:y val="-4.00056480281736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19E-490D-950A-3360CD3CBF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372.3</c:v>
                </c:pt>
                <c:pt idx="1">
                  <c:v>728.3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19E-490D-950A-3360CD3CBF8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Інші програми та заходи у сфері охорони здоров`я</c:v>
                </c:pt>
              </c:strCache>
            </c:strRef>
          </c:tx>
          <c:dLbls>
            <c:dLbl>
              <c:idx val="0"/>
              <c:layout>
                <c:manualLayout>
                  <c:x val="5.696840246773277E-2"/>
                  <c:y val="-2.741586099205981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9E-490D-950A-3360CD3CBF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857063614471016E-2"/>
                  <c:y val="-1.520947539785402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9E-490D-950A-3360CD3CBF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149.4</c:v>
                </c:pt>
                <c:pt idx="1">
                  <c:v>246.5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9E-490D-950A-3360CD3CBF8A}"/>
            </c:ext>
          </c:extLst>
        </c:ser>
        <c:gapDepth val="0"/>
        <c:shape val="box"/>
        <c:axId val="206890496"/>
        <c:axId val="206892032"/>
        <c:axId val="0"/>
      </c:bar3DChart>
      <c:catAx>
        <c:axId val="20689049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ru-RU"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06892032"/>
        <c:crosses val="autoZero"/>
        <c:auto val="1"/>
        <c:lblAlgn val="ctr"/>
        <c:lblOffset val="100"/>
        <c:tickLblSkip val="1"/>
        <c:tickMarkSkip val="1"/>
      </c:catAx>
      <c:valAx>
        <c:axId val="2068920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ru-RU"/>
            </a:pPr>
            <a:endParaRPr lang="uk-UA"/>
          </a:p>
        </c:txPr>
        <c:crossAx val="20689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22097302270203"/>
          <c:y val="3.9071065483904065E-2"/>
          <c:w val="0.29152274941147832"/>
          <c:h val="0.92870195023090463"/>
        </c:manualLayout>
      </c:layout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19"/>
      <c:hPercent val="100"/>
      <c:rotY val="26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64917035973004E-2"/>
          <c:y val="5.0166287353616446E-2"/>
          <c:w val="0.71052631578947367"/>
          <c:h val="0.8419243986254341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3405.6</c:v>
                </c:pt>
                <c:pt idx="1">
                  <c:v>6926.7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1431.1</c:v>
                </c:pt>
                <c:pt idx="1">
                  <c:v>3405.6</c:v>
                </c:pt>
              </c:numCache>
            </c:numRef>
          </c:val>
        </c:ser>
        <c:shape val="box"/>
        <c:axId val="207474048"/>
        <c:axId val="207475840"/>
        <c:axId val="207090112"/>
      </c:bar3DChart>
      <c:catAx>
        <c:axId val="207474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0747584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07475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07474048"/>
        <c:crosses val="autoZero"/>
        <c:crossBetween val="between"/>
      </c:valAx>
      <c:serAx>
        <c:axId val="207090112"/>
        <c:scaling>
          <c:orientation val="minMax"/>
        </c:scaling>
        <c:delete val="1"/>
        <c:axPos val="b"/>
        <c:tickLblPos val="none"/>
        <c:crossAx val="207475840"/>
        <c:crosses val="autoZero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982456140351393"/>
          <c:y val="1.7182130584192441E-2"/>
          <c:w val="0.27017543859649124"/>
          <c:h val="0.16838487972508587"/>
        </c:manualLayout>
      </c:layout>
      <c:spPr>
        <a:solidFill>
          <a:srgbClr val="FF9900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3946037099496"/>
          <c:y val="4.5197740112994364E-2"/>
          <c:w val="0.65767284991568364"/>
          <c:h val="0.80225988700564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052094517608549E-2"/>
                  <c:y val="1.7265931719424158E-4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9F-487F-A78B-D9D912D4B0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52818163655419"/>
                  <c:y val="9.9992373834627748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9F-487F-A78B-D9D912D4B0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lang="ru-RU"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2022 рік</c:v>
                </c:pt>
                <c:pt idx="1">
                  <c:v>2023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5638.9</c:v>
                </c:pt>
                <c:pt idx="1">
                  <c:v>5599.6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9F-487F-A78B-D9D912D4B0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541397628418353E-2"/>
                  <c:y val="-6.957727089850509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9F-487F-A78B-D9D912D4B0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021319019281774E-2"/>
                  <c:y val="-7.877417213330727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69F-487F-A78B-D9D912D4B0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lang="ru-RU"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2022 рік</c:v>
                </c:pt>
                <c:pt idx="1">
                  <c:v>2023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8.4</c:v>
                </c:pt>
                <c:pt idx="1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9F-487F-A78B-D9D912D4B0E1}"/>
            </c:ext>
          </c:extLst>
        </c:ser>
        <c:gapDepth val="0"/>
        <c:shape val="pyramid"/>
        <c:axId val="207165312"/>
        <c:axId val="207166848"/>
        <c:axId val="0"/>
      </c:bar3DChart>
      <c:catAx>
        <c:axId val="207165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07166848"/>
        <c:crosses val="autoZero"/>
        <c:auto val="1"/>
        <c:lblAlgn val="ctr"/>
        <c:lblOffset val="100"/>
        <c:tickLblSkip val="1"/>
        <c:tickMarkSkip val="1"/>
      </c:catAx>
      <c:valAx>
        <c:axId val="20716684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2071653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77571669479184"/>
          <c:y val="0.2542372881355891"/>
          <c:w val="0.21079258010118304"/>
          <c:h val="0.406779661016953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9246559119134732"/>
          <c:y val="0.31791318392893703"/>
          <c:w val="0.47309375200051179"/>
          <c:h val="0.682086816071068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AAA-425F-BBC9-5C6CA5F7CF77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AA-425F-BBC9-5C6CA5F7CF77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AAA-425F-BBC9-5C6CA5F7CF77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AA-425F-BBC9-5C6CA5F7CF77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AAA-425F-BBC9-5C6CA5F7CF77}"/>
              </c:ext>
            </c:extLst>
          </c:dPt>
          <c:dLbls>
            <c:dLbl>
              <c:idx val="0"/>
              <c:layout>
                <c:manualLayout>
                  <c:x val="2.2707277869336337E-2"/>
                  <c:y val="-0.1149649248389405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Заробітна плата</a:t>
                    </a:r>
                    <a:r>
                      <a:rPr lang="uk-UA" baseline="0"/>
                      <a:t> </a:t>
                    </a:r>
                    <a:r>
                      <a:rPr lang="uk-UA"/>
                      <a:t>з нарахуваннями  1696,1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AAA-425F-BBC9-5C6CA5F7CF77}"/>
                </c:ext>
                <c:ext xmlns:c15="http://schemas.microsoft.com/office/drawing/2012/chart" uri="{CE6537A1-D6FC-4f65-9D91-7224C49458BB}">
                  <c15:layout>
                    <c:manualLayout>
                      <c:w val="0.2243514211886305"/>
                      <c:h val="0.176363636363636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4098969336150144"/>
                  <c:y val="7.05758703239018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Придбання господарських товарів 19,0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AA-425F-BBC9-5C6CA5F7CF7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901350745791106"/>
                  <c:y val="-0.143290473306224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Медикаменти та перев`язувальні матеріали 2,0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AA-425F-BBC9-5C6CA5F7CF7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202323794891491E-2"/>
                  <c:y val="-0.2221160047301779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Відрядження 18,1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AA-425F-BBC9-5C6CA5F7CF7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1280343768004781"/>
                  <c:y val="-9.647117187274661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Оплата комунальних послуг та енергоносіїв 6,8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AA-425F-BBC9-5C6CA5F7CF7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5692033160489575"/>
                  <c:y val="5.4026938940326036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AA-425F-BBC9-5C6CA5F7CF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Заробітна плата з нарахуваннями </c:v>
                </c:pt>
                <c:pt idx="1">
                  <c:v>Придбання господарських товарів</c:v>
                </c:pt>
                <c:pt idx="2">
                  <c:v>Медикаменти та перев`язувальні матеріали</c:v>
                </c:pt>
                <c:pt idx="3">
                  <c:v>Відрядження</c:v>
                </c:pt>
                <c:pt idx="4">
                  <c:v>Оплата комунальних послуг та енергоносіїв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1696.1</c:v>
                </c:pt>
                <c:pt idx="1">
                  <c:v>19</c:v>
                </c:pt>
                <c:pt idx="2">
                  <c:v>2</c:v>
                </c:pt>
                <c:pt idx="3">
                  <c:v>18.100000000000001</c:v>
                </c:pt>
                <c:pt idx="4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AAA-425F-BBC9-5C6CA5F7CF77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7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073343396178151"/>
          <c:y val="3.0590575988965491E-2"/>
          <c:w val="0.85838751551404913"/>
          <c:h val="0.673228768655928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Податки на доходи</c:v>
                </c:pt>
                <c:pt idx="1">
                  <c:v>Рентна плата</c:v>
                </c:pt>
                <c:pt idx="2">
                  <c:v>Акцизний податок</c:v>
                </c:pt>
                <c:pt idx="3">
                  <c:v>Мсцеві податки та збори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52671.199999999997</c:v>
                </c:pt>
                <c:pt idx="1">
                  <c:v>1502.6</c:v>
                </c:pt>
                <c:pt idx="2">
                  <c:v>2207.6</c:v>
                </c:pt>
                <c:pt idx="3">
                  <c:v>10708.8</c:v>
                </c:pt>
                <c:pt idx="4">
                  <c:v>1330.7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3B-4BD2-AF87-44CA551E99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Податки на доходи</c:v>
                </c:pt>
                <c:pt idx="1">
                  <c:v>Рентна плата</c:v>
                </c:pt>
                <c:pt idx="2">
                  <c:v>Акцизний податок</c:v>
                </c:pt>
                <c:pt idx="3">
                  <c:v>Мсцеві податки та збори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50356.7</c:v>
                </c:pt>
                <c:pt idx="1">
                  <c:v>1325.5</c:v>
                </c:pt>
                <c:pt idx="2">
                  <c:v>4390.2</c:v>
                </c:pt>
                <c:pt idx="3">
                  <c:v>13887.6</c:v>
                </c:pt>
                <c:pt idx="4">
                  <c:v>1469.8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3B-4BD2-AF87-44CA551E99CD}"/>
            </c:ext>
          </c:extLst>
        </c:ser>
        <c:gapWidth val="100"/>
        <c:overlap val="-24"/>
        <c:axId val="200887296"/>
        <c:axId val="121316096"/>
      </c:barChart>
      <c:catAx>
        <c:axId val="200887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1316096"/>
        <c:crosses val="autoZero"/>
        <c:auto val="1"/>
        <c:lblAlgn val="ctr"/>
        <c:lblOffset val="100"/>
      </c:catAx>
      <c:valAx>
        <c:axId val="1213160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00887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dTable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8"/>
  <c:chart>
    <c:autoTitleDeleted val="1"/>
    <c:view3D>
      <c:hPercent val="70"/>
      <c:depthPercent val="100"/>
      <c:rAngAx val="1"/>
    </c:view3D>
    <c:plotArea>
      <c:layout>
        <c:manualLayout>
          <c:layoutTarget val="inner"/>
          <c:xMode val="edge"/>
          <c:yMode val="edge"/>
          <c:x val="0.10526315789473686"/>
          <c:y val="2.1413276231263777E-2"/>
          <c:w val="0.78877104993658764"/>
          <c:h val="0.6702355460385545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-5.9665871121719104E-3"/>
                  <c:y val="-4.478566858605239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8C-41F0-A891-245034F1CE4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844073190135241E-2"/>
                  <c:y val="-4.798464491362859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8C-41F0-A891-245034F1CE4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55210819411875E-2"/>
                  <c:y val="-2.879078694817657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C8C-41F0-A891-245034F1CE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Єдиний податок з ЮО</c:v>
                </c:pt>
                <c:pt idx="1">
                  <c:v>Єдиний податок з ФО</c:v>
                </c:pt>
                <c:pt idx="2">
                  <c:v>Єдиний податок з с/г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552.1</c:v>
                </c:pt>
                <c:pt idx="1">
                  <c:v>6211.9</c:v>
                </c:pt>
                <c:pt idx="2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8C-41F0-A891-245034F1CE4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1.9888623707239737E-3"/>
                  <c:y val="-4.798464491362859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C8C-41F0-A891-245034F1CE4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22036595067831E-2"/>
                  <c:y val="-6.7178502879078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8C-41F0-A891-245034F1CE4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832935560859839E-2"/>
                  <c:y val="-1.279590531030070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C8C-41F0-A891-245034F1CE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Єдиний податок з ЮО</c:v>
                </c:pt>
                <c:pt idx="1">
                  <c:v>Єдиний податок з ФО</c:v>
                </c:pt>
                <c:pt idx="2">
                  <c:v>Єдиний податок з с/г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1000.7</c:v>
                </c:pt>
                <c:pt idx="1">
                  <c:v>6795.5</c:v>
                </c:pt>
                <c:pt idx="2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C8C-41F0-A891-245034F1CE44}"/>
            </c:ext>
          </c:extLst>
        </c:ser>
        <c:gapDepth val="0"/>
        <c:shape val="cylinder"/>
        <c:axId val="121391360"/>
        <c:axId val="200900608"/>
        <c:axId val="119169472"/>
      </c:bar3DChart>
      <c:catAx>
        <c:axId val="12139136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ru-RU"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00900608"/>
        <c:crosses val="autoZero"/>
        <c:auto val="1"/>
        <c:lblAlgn val="ctr"/>
        <c:lblOffset val="100"/>
        <c:tickLblSkip val="1"/>
        <c:tickMarkSkip val="1"/>
      </c:catAx>
      <c:valAx>
        <c:axId val="2009006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ru-RU"/>
            </a:pPr>
            <a:endParaRPr lang="uk-UA"/>
          </a:p>
        </c:txPr>
        <c:crossAx val="121391360"/>
        <c:crosses val="autoZero"/>
        <c:crossBetween val="between"/>
      </c:valAx>
      <c:serAx>
        <c:axId val="119169472"/>
        <c:scaling>
          <c:orientation val="minMax"/>
        </c:scaling>
        <c:delete val="1"/>
        <c:axPos val="b"/>
        <c:numFmt formatCode="General" sourceLinked="1"/>
        <c:tickLblPos val="none"/>
        <c:crossAx val="200900608"/>
        <c:crosses val="autoZero"/>
        <c:tickLblSkip val="2"/>
        <c:tickMarkSkip val="1"/>
      </c:serAx>
    </c:plotArea>
    <c:legend>
      <c:legendPos val="r"/>
      <c:layout>
        <c:manualLayout>
          <c:xMode val="edge"/>
          <c:yMode val="edge"/>
          <c:x val="0.8878058403076976"/>
          <c:y val="0.12866628093213694"/>
          <c:w val="0.11096617639776155"/>
          <c:h val="0.72497564002583292"/>
        </c:manualLayout>
      </c:layout>
      <c:txPr>
        <a:bodyPr/>
        <a:lstStyle/>
        <a:p>
          <a:pPr>
            <a:defRPr lang="ru-RU" sz="1400" b="1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44"/>
      <c:hPercent val="66"/>
      <c:rotY val="1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612368766405161E-2"/>
          <c:y val="3.4428794992175271E-2"/>
          <c:w val="0.9083876312336"/>
          <c:h val="0.769067070841496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Sheet1!$B$1:$H$1</c:f>
              <c:strCache>
                <c:ptCount val="7"/>
                <c:pt idx="0">
                  <c:v>Податок на нерухоме майно з ЮО</c:v>
                </c:pt>
                <c:pt idx="1">
                  <c:v>Податок на нерухоме майно з ФО</c:v>
                </c:pt>
                <c:pt idx="2">
                  <c:v>Орендна плата з ЮО</c:v>
                </c:pt>
                <c:pt idx="3">
                  <c:v>Орендна плата ФО</c:v>
                </c:pt>
                <c:pt idx="4">
                  <c:v>Земельний податок з ЮО</c:v>
                </c:pt>
                <c:pt idx="5">
                  <c:v>Земельний податок з ФО</c:v>
                </c:pt>
                <c:pt idx="6">
                  <c:v>Транспортний податок з ФО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295.2</c:v>
                </c:pt>
                <c:pt idx="1">
                  <c:v>369</c:v>
                </c:pt>
                <c:pt idx="2">
                  <c:v>1849.5</c:v>
                </c:pt>
                <c:pt idx="3">
                  <c:v>1167.2</c:v>
                </c:pt>
                <c:pt idx="4">
                  <c:v>1146.3</c:v>
                </c:pt>
                <c:pt idx="5">
                  <c:v>942.5</c:v>
                </c:pt>
                <c:pt idx="6">
                  <c:v>39.6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CA-4CAA-A2BA-CD5576580C0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Sheet1!$B$1:$H$1</c:f>
              <c:strCache>
                <c:ptCount val="7"/>
                <c:pt idx="0">
                  <c:v>Податок на нерухоме майно з ЮО</c:v>
                </c:pt>
                <c:pt idx="1">
                  <c:v>Податок на нерухоме майно з ФО</c:v>
                </c:pt>
                <c:pt idx="2">
                  <c:v>Орендна плата з ЮО</c:v>
                </c:pt>
                <c:pt idx="3">
                  <c:v>Орендна плата ФО</c:v>
                </c:pt>
                <c:pt idx="4">
                  <c:v>Земельний податок з ЮО</c:v>
                </c:pt>
                <c:pt idx="5">
                  <c:v>Земельний податок з ФО</c:v>
                </c:pt>
                <c:pt idx="6">
                  <c:v>Транспортний податок з ФО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286.89999999999969</c:v>
                </c:pt>
                <c:pt idx="1">
                  <c:v>220.2</c:v>
                </c:pt>
                <c:pt idx="2">
                  <c:v>1144.3</c:v>
                </c:pt>
                <c:pt idx="3">
                  <c:v>761.7</c:v>
                </c:pt>
                <c:pt idx="4">
                  <c:v>867.1</c:v>
                </c:pt>
                <c:pt idx="5">
                  <c:v>504.4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CA-4CAA-A2BA-CD5576580C0D}"/>
            </c:ext>
          </c:extLst>
        </c:ser>
        <c:dLbls>
          <c:showVal val="1"/>
        </c:dLbls>
        <c:gapDepth val="0"/>
        <c:shape val="box"/>
        <c:axId val="119187712"/>
        <c:axId val="200880128"/>
        <c:axId val="0"/>
      </c:bar3DChart>
      <c:catAx>
        <c:axId val="119187712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one"/>
        <c:crossAx val="200880128"/>
        <c:crosses val="autoZero"/>
        <c:auto val="1"/>
        <c:lblAlgn val="ctr"/>
        <c:lblOffset val="100"/>
      </c:catAx>
      <c:valAx>
        <c:axId val="20088012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19187712"/>
        <c:crosses val="autoZero"/>
        <c:crossBetween val="between"/>
      </c:valAx>
      <c:dTable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lang="ru-RU"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layout>
        <c:manualLayout>
          <c:xMode val="edge"/>
          <c:yMode val="edge"/>
          <c:x val="0.17383675998833478"/>
          <c:y val="2.380952380952381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12791630212891"/>
          <c:y val="0.17857142857143032"/>
          <c:w val="0.55027303878681832"/>
          <c:h val="0.612698412698427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надходжень туристичного збору в 2023 році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7B2-48E1-8EF0-7B7C15EA756E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B2-48E1-8EF0-7B7C15EA756E}"/>
              </c:ext>
            </c:extLst>
          </c:dPt>
          <c:dLbls>
            <c:dLbl>
              <c:idx val="0"/>
              <c:layout>
                <c:manualLayout>
                  <c:x val="5.0541703120443322E-2"/>
                  <c:y val="-8.2614673165855269E-4"/>
                </c:manualLayout>
              </c:layout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B2-48E1-8EF0-7B7C15EA756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371318168562438"/>
                  <c:y val="-0.25143013373328327"/>
                </c:manualLayout>
              </c:layout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B2-48E1-8EF0-7B7C15EA756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Туристичний збір, сплачений юридичними особами</c:v>
                </c:pt>
                <c:pt idx="1">
                  <c:v>Туристичний збір, сплачений фізичними особами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19.399999999999999</c:v>
                </c:pt>
                <c:pt idx="1">
                  <c:v>246.1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B2-48E1-8EF0-7B7C15EA756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0"/>
  <c:chart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069763862718429"/>
          <c:y val="0"/>
          <c:w val="0.8603196843290396"/>
          <c:h val="0.6356122726038693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Акцизний податок із виробленого в Україні пального</c:v>
                </c:pt>
                <c:pt idx="1">
                  <c:v>Акцизний податок із ввезеного в Україну пального</c:v>
                </c:pt>
                <c:pt idx="2">
                  <c:v>Акцизний податок з реалізації підакцизних товарів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168.3</c:v>
                </c:pt>
                <c:pt idx="1">
                  <c:v>958.8</c:v>
                </c:pt>
                <c:pt idx="2">
                  <c:v>1080.5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C0-4E3D-882D-12975832C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Акцизний податок із виробленого в Україні пального</c:v>
                </c:pt>
                <c:pt idx="1">
                  <c:v>Акцизний податок із ввезеного в Україну пального</c:v>
                </c:pt>
                <c:pt idx="2">
                  <c:v>Акцизний податок з реалізації підакцизних товарів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574.4</c:v>
                </c:pt>
                <c:pt idx="1">
                  <c:v>2190.5</c:v>
                </c:pt>
                <c:pt idx="2">
                  <c:v>1625.3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C0-4E3D-882D-12975832CE55}"/>
            </c:ext>
          </c:extLst>
        </c:ser>
        <c:shape val="box"/>
        <c:axId val="204877184"/>
        <c:axId val="204878976"/>
        <c:axId val="121893312"/>
      </c:bar3DChart>
      <c:catAx>
        <c:axId val="204877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lang="ru-RU"/>
            </a:pPr>
            <a:endParaRPr lang="uk-UA"/>
          </a:p>
        </c:txPr>
        <c:crossAx val="204878976"/>
        <c:crosses val="autoZero"/>
        <c:auto val="1"/>
        <c:lblAlgn val="ctr"/>
        <c:lblOffset val="100"/>
      </c:catAx>
      <c:valAx>
        <c:axId val="204878976"/>
        <c:scaling>
          <c:orientation val="minMax"/>
        </c:scaling>
        <c:delete val="1"/>
        <c:axPos val="l"/>
        <c:numFmt formatCode="General" sourceLinked="1"/>
        <c:tickLblPos val="none"/>
        <c:crossAx val="204877184"/>
        <c:crosses val="autoZero"/>
        <c:crossBetween val="between"/>
      </c:valAx>
      <c:serAx>
        <c:axId val="121893312"/>
        <c:scaling>
          <c:orientation val="minMax"/>
        </c:scaling>
        <c:delete val="1"/>
        <c:axPos val="b"/>
        <c:tickLblPos val="none"/>
        <c:crossAx val="204878976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dTable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564391708654147"/>
          <c:y val="0"/>
          <c:w val="0.82742164154689235"/>
          <c:h val="0.672979513924411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Рентна плата з головних рубок</c:v>
                </c:pt>
                <c:pt idx="1">
                  <c:v>Рентна плата із санітарних рубок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633.4</c:v>
                </c:pt>
                <c:pt idx="1">
                  <c:v>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00-4B55-B9CE-AEBA5A64A2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Рентна плата з головних рубок</c:v>
                </c:pt>
                <c:pt idx="1">
                  <c:v>Рентна плата із санітарних рубок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568.1</c:v>
                </c:pt>
                <c:pt idx="1">
                  <c:v>757.4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00-4B55-B9CE-AEBA5A64A2E0}"/>
            </c:ext>
          </c:extLst>
        </c:ser>
        <c:shape val="box"/>
        <c:axId val="206840576"/>
        <c:axId val="206842112"/>
        <c:axId val="0"/>
      </c:bar3DChart>
      <c:catAx>
        <c:axId val="206840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lang="ru-RU"/>
            </a:pPr>
            <a:endParaRPr lang="uk-UA"/>
          </a:p>
        </c:txPr>
        <c:crossAx val="206842112"/>
        <c:crosses val="autoZero"/>
        <c:auto val="1"/>
        <c:lblAlgn val="ctr"/>
        <c:lblOffset val="100"/>
      </c:catAx>
      <c:valAx>
        <c:axId val="2068421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06840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vert="horz"/>
          <a:lstStyle/>
          <a:p>
            <a:pPr rtl="0">
              <a:defRPr lang="ru-RU"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453978920174246"/>
          <c:y val="0"/>
          <c:w val="0.88546021079825032"/>
          <c:h val="0.629531476475901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472C4"/>
            </a:solidFill>
            <a:ln w="25401">
              <a:noFill/>
            </a:ln>
          </c:spPr>
          <c:cat>
            <c:strRef>
              <c:f>Лист1!$A$2:$A$5</c:f>
              <c:strCache>
                <c:ptCount val="4"/>
                <c:pt idx="0">
                  <c:v>Адміністративні штрафи та санкції</c:v>
                </c:pt>
                <c:pt idx="1">
                  <c:v>Адміністративні послуги</c:v>
                </c:pt>
                <c:pt idx="2">
                  <c:v>Державне мито</c:v>
                </c:pt>
                <c:pt idx="3">
                  <c:v>Інші неподаткові надходження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120</c:v>
                </c:pt>
                <c:pt idx="1">
                  <c:v>1126.2</c:v>
                </c:pt>
                <c:pt idx="2">
                  <c:v>40.200000000000003</c:v>
                </c:pt>
                <c:pt idx="3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B1-40CA-9466-706B9C9835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cat>
            <c:strRef>
              <c:f>Лист1!$A$2:$A$5</c:f>
              <c:strCache>
                <c:ptCount val="4"/>
                <c:pt idx="0">
                  <c:v>Адміністративні штрафи та санкції</c:v>
                </c:pt>
                <c:pt idx="1">
                  <c:v>Адміністративні послуги</c:v>
                </c:pt>
                <c:pt idx="2">
                  <c:v>Державне мито</c:v>
                </c:pt>
                <c:pt idx="3">
                  <c:v>Інші неподаткові надходження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128.4</c:v>
                </c:pt>
                <c:pt idx="1">
                  <c:v>1205.0999999999999</c:v>
                </c:pt>
                <c:pt idx="2">
                  <c:v>51.5</c:v>
                </c:pt>
                <c:pt idx="3">
                  <c:v>84.8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B1-40CA-9466-706B9C983532}"/>
            </c:ext>
          </c:extLst>
        </c:ser>
        <c:shape val="box"/>
        <c:axId val="206706176"/>
        <c:axId val="206707712"/>
        <c:axId val="0"/>
      </c:bar3DChart>
      <c:catAx>
        <c:axId val="20670617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6707712"/>
        <c:crosses val="autoZero"/>
        <c:auto val="1"/>
        <c:lblAlgn val="ctr"/>
        <c:lblOffset val="100"/>
      </c:catAx>
      <c:valAx>
        <c:axId val="206707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one"/>
        <c:crossAx val="206706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</c:dTable>
      <c:spPr>
        <a:noFill/>
        <a:ln w="25401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2.604804607757422E-2"/>
          <c:y val="0"/>
          <c:w val="0.54785376874100766"/>
          <c:h val="0.9744292237442926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2.4649592144587468E-2"/>
                  <c:y val="-9.86301369863013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85D-4A96-AC96-0BF40C092D4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94695250921062"/>
                  <c:y val="-3.6529680365296798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5D-4A96-AC96-0BF40C092D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16710546004556E-2"/>
                  <c:y val="-0.15342465753424694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5D-4A96-AC96-0BF40C092D45}"/>
                </c:ext>
                <c:ext xmlns:c15="http://schemas.microsoft.com/office/drawing/2012/chart" uri="{CE6537A1-D6FC-4f65-9D91-7224C49458BB}">
                  <c15:layout>
                    <c:manualLayout>
                      <c:w val="0.28242973787241477"/>
                      <c:h val="0.2611872146118721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1994022704018733E-3"/>
                  <c:y val="-5.844748858447485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85D-4A96-AC96-0BF40C092D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Платні послуги </c:v>
                </c:pt>
                <c:pt idx="1">
                  <c:v>Плата за оренду майна</c:v>
                </c:pt>
                <c:pt idx="2">
                  <c:v>Благодійні венески, гранти, дарунки</c:v>
                </c:pt>
                <c:pt idx="3">
                  <c:v>Надходження від установ та фізичних осіб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3891.3</c:v>
                </c:pt>
                <c:pt idx="1">
                  <c:v>29.7</c:v>
                </c:pt>
                <c:pt idx="2" formatCode="General">
                  <c:v>10648.9</c:v>
                </c:pt>
                <c:pt idx="3" formatCode="General">
                  <c:v>1010.1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5D-4A96-AC96-0BF40C092D45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253691324023634"/>
          <c:y val="0.14662506075629494"/>
          <c:w val="0.31895029300074479"/>
          <c:h val="0.68273510255662484"/>
        </c:manualLayout>
      </c:layout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0.50173</cdr:x>
      <cdr:y>0.51383</cdr:y>
    </cdr:from>
    <cdr:to>
      <cdr:x>0.50477</cdr:x>
      <cdr:y>0.55967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8547" y="1754077"/>
          <a:ext cx="18531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43960</Words>
  <Characters>25058</Characters>
  <Application>Microsoft Office Word</Application>
  <DocSecurity>0</DocSecurity>
  <Lines>208</Lines>
  <Paragraphs>137</Paragraphs>
  <ScaleCrop>false</ScaleCrop>
  <Company/>
  <LinksUpToDate>false</LinksUpToDate>
  <CharactersWithSpaces>68881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2024-04-03T13:57:00Z</dcterms:created>
  <dcterms:modified xsi:type="dcterms:W3CDTF">2024-04-03T13:58:00Z</dcterms:modified>
</cp:coreProperties>
</file>