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09" w:rsidRDefault="00906B09" w:rsidP="006E099F">
      <w:pPr>
        <w:jc w:val="both"/>
        <w:rPr>
          <w:lang w:val="uk-UA"/>
        </w:rPr>
      </w:pPr>
    </w:p>
    <w:p w:rsidR="00906B09" w:rsidRPr="00D96637" w:rsidRDefault="006E099F" w:rsidP="000E3045">
      <w:pPr>
        <w:jc w:val="center"/>
      </w:pPr>
      <w:r>
        <w:rPr>
          <w:noProof/>
          <w:lang w:val="uk-UA" w:eastAsia="uk-UA"/>
        </w:rPr>
        <w:drawing>
          <wp:inline distT="0" distB="0" distL="0" distR="0">
            <wp:extent cx="540385" cy="620395"/>
            <wp:effectExtent l="19050" t="0" r="0" b="0"/>
            <wp:docPr id="6" name="Рисунок 6"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1"/>
                    <pic:cNvPicPr>
                      <a:picLocks noChangeAspect="1" noChangeArrowheads="1"/>
                    </pic:cNvPicPr>
                  </pic:nvPicPr>
                  <pic:blipFill>
                    <a:blip r:embed="rId7"/>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906B09" w:rsidRPr="00D96637" w:rsidRDefault="00906B09" w:rsidP="000E3045">
      <w:pPr>
        <w:jc w:val="center"/>
      </w:pPr>
      <w:r w:rsidRPr="00D96637">
        <w:t>Україна</w:t>
      </w:r>
    </w:p>
    <w:p w:rsidR="00906B09" w:rsidRDefault="00906B09" w:rsidP="000E3045">
      <w:pPr>
        <w:jc w:val="center"/>
        <w:rPr>
          <w:lang w:val="uk-UA"/>
        </w:rPr>
      </w:pPr>
      <w:r w:rsidRPr="00D96637">
        <w:t xml:space="preserve">Верховинська селищна рада </w:t>
      </w:r>
    </w:p>
    <w:p w:rsidR="00906B09" w:rsidRPr="00D96637" w:rsidRDefault="00906B09" w:rsidP="000E3045">
      <w:pPr>
        <w:jc w:val="center"/>
      </w:pPr>
      <w:r w:rsidRPr="00D96637">
        <w:t>Верховинського району</w:t>
      </w:r>
      <w:r>
        <w:rPr>
          <w:lang w:val="uk-UA"/>
        </w:rPr>
        <w:t xml:space="preserve"> </w:t>
      </w:r>
      <w:r w:rsidRPr="00D96637">
        <w:t>Івано-Франківської області</w:t>
      </w:r>
    </w:p>
    <w:p w:rsidR="00906B09" w:rsidRPr="00D96637" w:rsidRDefault="00906B09" w:rsidP="000E3045">
      <w:pPr>
        <w:jc w:val="center"/>
      </w:pPr>
      <w:r>
        <w:rPr>
          <w:lang w:val="uk-UA"/>
        </w:rPr>
        <w:t>восьмого</w:t>
      </w:r>
      <w:r w:rsidRPr="00D96637">
        <w:t xml:space="preserve"> скликання</w:t>
      </w:r>
    </w:p>
    <w:p w:rsidR="00906B09" w:rsidRDefault="00906B09" w:rsidP="000E3045">
      <w:pPr>
        <w:jc w:val="center"/>
        <w:rPr>
          <w:lang w:val="uk-UA"/>
        </w:rPr>
      </w:pPr>
      <w:r>
        <w:rPr>
          <w:lang w:val="uk-UA"/>
        </w:rPr>
        <w:t xml:space="preserve"> двадцять друга  </w:t>
      </w:r>
      <w:r w:rsidRPr="00D96637">
        <w:t xml:space="preserve"> сесія</w:t>
      </w:r>
    </w:p>
    <w:p w:rsidR="00906B09" w:rsidRPr="0058090A" w:rsidRDefault="00906B09" w:rsidP="000E3045">
      <w:pPr>
        <w:jc w:val="center"/>
        <w:rPr>
          <w:lang w:val="uk-UA"/>
        </w:rPr>
      </w:pPr>
      <w:r w:rsidRPr="00F06CA3">
        <w:rPr>
          <w:lang w:val="uk-UA"/>
        </w:rPr>
        <w:t>РІШЕННЯ</w:t>
      </w:r>
    </w:p>
    <w:p w:rsidR="00906B09" w:rsidRPr="00D96637" w:rsidRDefault="00906B09" w:rsidP="000E3045">
      <w:pPr>
        <w:jc w:val="center"/>
      </w:pPr>
    </w:p>
    <w:p w:rsidR="00906B09" w:rsidRPr="0063011A" w:rsidRDefault="00906B09" w:rsidP="000E3045">
      <w:pPr>
        <w:ind w:firstLine="708"/>
        <w:jc w:val="both"/>
      </w:pPr>
      <w:r w:rsidRPr="0063011A">
        <w:t xml:space="preserve">від </w:t>
      </w:r>
      <w:r>
        <w:rPr>
          <w:lang w:val="uk-UA"/>
        </w:rPr>
        <w:t>16</w:t>
      </w:r>
      <w:r w:rsidRPr="0063011A">
        <w:t>.</w:t>
      </w:r>
      <w:r>
        <w:rPr>
          <w:lang w:val="uk-UA"/>
        </w:rPr>
        <w:t>11</w:t>
      </w:r>
      <w:r w:rsidRPr="0063011A">
        <w:t>.20</w:t>
      </w:r>
      <w:r>
        <w:rPr>
          <w:lang w:val="uk-UA"/>
        </w:rPr>
        <w:t>22</w:t>
      </w:r>
      <w:r w:rsidRPr="0063011A">
        <w:t xml:space="preserve"> року          </w:t>
      </w:r>
      <w:r w:rsidRPr="0063011A">
        <w:tab/>
      </w:r>
      <w:r w:rsidRPr="0063011A">
        <w:tab/>
      </w:r>
      <w:r w:rsidRPr="0063011A">
        <w:tab/>
        <w:t xml:space="preserve">    </w:t>
      </w:r>
      <w:r>
        <w:rPr>
          <w:lang w:val="uk-UA"/>
        </w:rPr>
        <w:t xml:space="preserve">                                             </w:t>
      </w:r>
      <w:r w:rsidRPr="0063011A">
        <w:t xml:space="preserve"> с-ще Верховина</w:t>
      </w:r>
    </w:p>
    <w:p w:rsidR="00906B09" w:rsidRPr="001A5EBC" w:rsidRDefault="00906B09" w:rsidP="000E3045">
      <w:pPr>
        <w:ind w:firstLine="708"/>
        <w:jc w:val="both"/>
        <w:rPr>
          <w:lang w:val="uk-UA"/>
        </w:rPr>
      </w:pPr>
      <w:r>
        <w:rPr>
          <w:lang w:val="uk-UA"/>
        </w:rPr>
        <w:t>№286-22/2022</w:t>
      </w:r>
    </w:p>
    <w:p w:rsidR="00906B09" w:rsidRDefault="00906B09" w:rsidP="000E3045">
      <w:pPr>
        <w:jc w:val="both"/>
        <w:rPr>
          <w:lang w:val="uk-UA"/>
        </w:rPr>
      </w:pPr>
    </w:p>
    <w:p w:rsidR="00906B09" w:rsidRPr="000E3045" w:rsidRDefault="00906B09" w:rsidP="000E3045">
      <w:pPr>
        <w:jc w:val="both"/>
        <w:rPr>
          <w:b/>
        </w:rPr>
      </w:pPr>
      <w:r w:rsidRPr="000E3045">
        <w:rPr>
          <w:b/>
        </w:rPr>
        <w:t>Про затвердження змін до фінансового плану</w:t>
      </w:r>
    </w:p>
    <w:p w:rsidR="00906B09" w:rsidRPr="000E3045" w:rsidRDefault="00906B09" w:rsidP="000E3045">
      <w:pPr>
        <w:jc w:val="both"/>
        <w:rPr>
          <w:b/>
        </w:rPr>
      </w:pPr>
      <w:r w:rsidRPr="000E3045">
        <w:rPr>
          <w:b/>
        </w:rPr>
        <w:t>на 2022 рік  КНП «Верховинська</w:t>
      </w:r>
    </w:p>
    <w:p w:rsidR="00906B09" w:rsidRPr="000E3045" w:rsidRDefault="00906B09" w:rsidP="000E3045">
      <w:pPr>
        <w:jc w:val="both"/>
        <w:rPr>
          <w:b/>
        </w:rPr>
      </w:pPr>
      <w:r w:rsidRPr="000E3045">
        <w:rPr>
          <w:b/>
        </w:rPr>
        <w:t>багатопрофільна лікарня» Верховинської селищної</w:t>
      </w:r>
    </w:p>
    <w:p w:rsidR="00906B09" w:rsidRPr="000E3045" w:rsidRDefault="00906B09" w:rsidP="000E3045">
      <w:pPr>
        <w:jc w:val="both"/>
        <w:rPr>
          <w:b/>
        </w:rPr>
      </w:pPr>
      <w:r w:rsidRPr="000E3045">
        <w:rPr>
          <w:b/>
        </w:rPr>
        <w:t>ради Івано-Франківської області</w:t>
      </w:r>
    </w:p>
    <w:p w:rsidR="00906B09" w:rsidRPr="000E3045" w:rsidRDefault="00906B09" w:rsidP="000E3045">
      <w:pPr>
        <w:jc w:val="both"/>
        <w:rPr>
          <w:b/>
        </w:rPr>
      </w:pPr>
    </w:p>
    <w:p w:rsidR="00906B09" w:rsidRPr="000E3045" w:rsidRDefault="00906B09" w:rsidP="000E3045">
      <w:pPr>
        <w:ind w:firstLine="709"/>
        <w:jc w:val="both"/>
      </w:pPr>
      <w:r w:rsidRPr="000E3045">
        <w:t>Відповідно до ст. 25, 26  Закону України »Про місцеве самоврядування  в Україні», керуючись ч. 10 ст. 78, ст. 75, 77 Господарського кодексу України, Порядок складання, затвердження та контролю виконання фінансового плану Комунального некомерційного підприємства «Верховинська багатопрофільна лікарня» Верховинської селищної ради затвердженого селищним головою  від 22 грудня 2021 року «Про бюджет Верховинської селищної ради на 2022 рік», сесія селищної ради</w:t>
      </w:r>
    </w:p>
    <w:p w:rsidR="00906B09" w:rsidRPr="000E3045" w:rsidRDefault="00906B09" w:rsidP="000E3045">
      <w:pPr>
        <w:ind w:firstLine="709"/>
        <w:jc w:val="both"/>
      </w:pPr>
    </w:p>
    <w:p w:rsidR="00906B09" w:rsidRPr="000E3045" w:rsidRDefault="00906B09" w:rsidP="000E3045">
      <w:pPr>
        <w:ind w:firstLine="709"/>
        <w:jc w:val="center"/>
        <w:rPr>
          <w:b/>
        </w:rPr>
      </w:pPr>
      <w:r w:rsidRPr="000E3045">
        <w:rPr>
          <w:b/>
        </w:rPr>
        <w:t>ВИРІШИЛА:</w:t>
      </w:r>
    </w:p>
    <w:p w:rsidR="00906B09" w:rsidRPr="000E3045" w:rsidRDefault="00906B09" w:rsidP="000E3045">
      <w:pPr>
        <w:ind w:firstLine="709"/>
        <w:jc w:val="center"/>
        <w:rPr>
          <w:b/>
        </w:rPr>
      </w:pPr>
    </w:p>
    <w:p w:rsidR="00906B09" w:rsidRPr="000E3045" w:rsidRDefault="00906B09" w:rsidP="000E3045">
      <w:pPr>
        <w:ind w:firstLine="709"/>
        <w:jc w:val="both"/>
      </w:pPr>
      <w:r w:rsidRPr="000E3045">
        <w:t>І. Затвердити зміни до фінансового плану Комунального некомерційного підприємства «Верховинська багатопрофільна лікарня» Верховинської селищної ради, Івано-Франківської області на 2022 року, що додаються.</w:t>
      </w:r>
    </w:p>
    <w:p w:rsidR="00906B09" w:rsidRPr="000E3045" w:rsidRDefault="00906B09" w:rsidP="000E3045">
      <w:pPr>
        <w:ind w:firstLine="709"/>
        <w:jc w:val="both"/>
      </w:pPr>
      <w:r w:rsidRPr="000E3045">
        <w:t>2. Відповідальність за виконання показників фінансового плану на 2022 рік покласти на директора плану Комунального некомерційного підприємства «Верховинської багатопрофільної лікарні» Верховинської селищної ради Івано-Франківської області Галину КІКІНЧУК</w:t>
      </w:r>
    </w:p>
    <w:p w:rsidR="00906B09" w:rsidRPr="000E3045" w:rsidRDefault="00906B09" w:rsidP="000E3045">
      <w:pPr>
        <w:ind w:firstLine="709"/>
        <w:jc w:val="both"/>
      </w:pPr>
      <w:r w:rsidRPr="000E3045">
        <w:t>3. Контроль за виконання даного рішення покласти на заступника селищного голови Оксану ЧУБАТЬКО</w:t>
      </w:r>
    </w:p>
    <w:p w:rsidR="00906B09" w:rsidRPr="000E3045" w:rsidRDefault="00906B09" w:rsidP="000E3045">
      <w:pPr>
        <w:tabs>
          <w:tab w:val="left" w:pos="1440"/>
        </w:tabs>
        <w:ind w:firstLine="709"/>
        <w:jc w:val="both"/>
      </w:pPr>
    </w:p>
    <w:p w:rsidR="00906B09" w:rsidRDefault="00906B09" w:rsidP="000E3045">
      <w:pPr>
        <w:tabs>
          <w:tab w:val="left" w:pos="1440"/>
        </w:tabs>
        <w:ind w:firstLine="709"/>
        <w:jc w:val="both"/>
        <w:rPr>
          <w:lang w:val="uk-UA"/>
        </w:rPr>
      </w:pPr>
    </w:p>
    <w:p w:rsidR="00906B09" w:rsidRPr="00D93FDD" w:rsidRDefault="00906B09" w:rsidP="000E3045">
      <w:pPr>
        <w:tabs>
          <w:tab w:val="left" w:pos="1440"/>
        </w:tabs>
        <w:jc w:val="both"/>
        <w:rPr>
          <w:lang w:val="uk-UA"/>
        </w:rPr>
      </w:pPr>
    </w:p>
    <w:p w:rsidR="00906B09" w:rsidRDefault="00906B09" w:rsidP="000E3045">
      <w:pPr>
        <w:ind w:left="708" w:firstLine="708"/>
        <w:rPr>
          <w:b/>
          <w:lang w:val="uk-UA"/>
        </w:rPr>
      </w:pPr>
      <w:r w:rsidRPr="00EC5DA7">
        <w:rPr>
          <w:b/>
        </w:rPr>
        <w:t>Селищний голова                                                        Василь МИЦКАНЮК</w:t>
      </w:r>
    </w:p>
    <w:p w:rsidR="00906B09" w:rsidRDefault="00906B09" w:rsidP="000E3045">
      <w:pPr>
        <w:ind w:firstLine="708"/>
        <w:rPr>
          <w:b/>
          <w:lang w:val="uk-UA"/>
        </w:rPr>
      </w:pPr>
    </w:p>
    <w:p w:rsidR="00906B09" w:rsidRDefault="00906B09" w:rsidP="000E3045">
      <w:pPr>
        <w:ind w:left="708" w:firstLine="708"/>
        <w:rPr>
          <w:b/>
          <w:lang w:val="uk-UA"/>
        </w:rPr>
      </w:pPr>
      <w:r>
        <w:rPr>
          <w:b/>
          <w:lang w:val="uk-UA"/>
        </w:rPr>
        <w:t>Секретар ради                                                              Петро АНТІПОВ</w:t>
      </w:r>
    </w:p>
    <w:p w:rsidR="00906B09" w:rsidRDefault="00906B09" w:rsidP="000E3045">
      <w:pPr>
        <w:rPr>
          <w:lang w:val="uk-UA"/>
        </w:rPr>
      </w:pPr>
    </w:p>
    <w:p w:rsidR="00906B09" w:rsidRDefault="00906B09">
      <w:pPr>
        <w:rPr>
          <w:lang w:val="uk-UA"/>
        </w:rPr>
      </w:pPr>
    </w:p>
    <w:p w:rsidR="00906B09" w:rsidRDefault="00906B09">
      <w:pPr>
        <w:rPr>
          <w:lang w:val="uk-UA"/>
        </w:rPr>
      </w:pPr>
    </w:p>
    <w:p w:rsidR="00906B09" w:rsidRPr="00A95F83" w:rsidRDefault="00906B09" w:rsidP="00A95F83">
      <w:pPr>
        <w:autoSpaceDE w:val="0"/>
        <w:autoSpaceDN w:val="0"/>
        <w:adjustRightInd w:val="0"/>
        <w:rPr>
          <w:rFonts w:ascii="Calibri" w:hAnsi="Calibri" w:cs="Calibri"/>
          <w:color w:val="000000"/>
          <w:lang w:val="uk-UA"/>
        </w:rPr>
        <w:sectPr w:rsidR="00906B09" w:rsidRPr="00A95F83" w:rsidSect="00CB7529">
          <w:pgSz w:w="11906" w:h="16838"/>
          <w:pgMar w:top="850" w:right="850" w:bottom="850" w:left="1417" w:header="708" w:footer="708" w:gutter="0"/>
          <w:cols w:space="708"/>
          <w:docGrid w:linePitch="360"/>
        </w:sectPr>
      </w:pPr>
    </w:p>
    <w:tbl>
      <w:tblPr>
        <w:tblW w:w="0" w:type="auto"/>
        <w:tblLayout w:type="fixed"/>
        <w:tblCellMar>
          <w:left w:w="30" w:type="dxa"/>
          <w:right w:w="30" w:type="dxa"/>
        </w:tblCellMar>
        <w:tblLook w:val="0000"/>
      </w:tblPr>
      <w:tblGrid>
        <w:gridCol w:w="5059"/>
        <w:gridCol w:w="1032"/>
        <w:gridCol w:w="1032"/>
        <w:gridCol w:w="1032"/>
        <w:gridCol w:w="1032"/>
        <w:gridCol w:w="1032"/>
        <w:gridCol w:w="1032"/>
        <w:gridCol w:w="1032"/>
        <w:gridCol w:w="1176"/>
        <w:gridCol w:w="1032"/>
        <w:gridCol w:w="1032"/>
      </w:tblGrid>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"ПОГОДЖЕНО"</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"ЗАТВЕРДЖЕНО"</w:t>
            </w: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Начальник фінансового </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3"/>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Рішення  сесії Верховинської </w:t>
            </w:r>
          </w:p>
        </w:tc>
        <w:tc>
          <w:tcPr>
            <w:tcW w:w="1176"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управління</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 селищної ради</w:t>
            </w: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u w:val="single"/>
              </w:rPr>
            </w:pPr>
            <w:r>
              <w:rPr>
                <w:color w:val="000000"/>
                <w:sz w:val="20"/>
                <w:szCs w:val="20"/>
                <w:u w:val="single"/>
              </w:rPr>
              <w:t>С.Блищук</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2" w:space="0" w:color="000000"/>
              <w:left w:val="single" w:sz="2" w:space="0" w:color="000000"/>
              <w:bottom w:val="single" w:sz="6" w:space="0" w:color="auto"/>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В.Мицканюк</w:t>
            </w:r>
          </w:p>
        </w:tc>
        <w:tc>
          <w:tcPr>
            <w:tcW w:w="1176" w:type="dxa"/>
            <w:tcBorders>
              <w:top w:val="single" w:sz="2" w:space="0" w:color="000000"/>
              <w:left w:val="nil"/>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"____" _______________ 20___ р.</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3"/>
            <w:tcBorders>
              <w:top w:val="single" w:sz="6" w:space="0" w:color="auto"/>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від"____" ___________ 20___ р.</w:t>
            </w:r>
          </w:p>
        </w:tc>
        <w:tc>
          <w:tcPr>
            <w:tcW w:w="1176" w:type="dxa"/>
            <w:tcBorders>
              <w:top w:val="single" w:sz="6" w:space="0" w:color="auto"/>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 </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176"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Попередній</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Уточнений </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Х</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Зміни</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зробити позначку "Х"</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ФІНАНСОВИЙ ПЛАН ПІДПРИЄМСТВА НА</w:t>
            </w:r>
            <w:r>
              <w:rPr>
                <w:b/>
                <w:bCs/>
                <w:color w:val="000000"/>
                <w:sz w:val="20"/>
                <w:szCs w:val="20"/>
                <w:u w:val="single"/>
              </w:rPr>
              <w:t xml:space="preserve"> 2022</w:t>
            </w:r>
            <w:r>
              <w:rPr>
                <w:b/>
                <w:bCs/>
                <w:color w:val="000000"/>
                <w:sz w:val="20"/>
                <w:szCs w:val="20"/>
              </w:rPr>
              <w:t xml:space="preserve"> рік</w:t>
            </w: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nil"/>
              <w:bottom w:val="single" w:sz="2" w:space="0" w:color="000000"/>
              <w:right w:val="nil"/>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176"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176"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Коди</w:t>
            </w: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638"/>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Підприємство  </w:t>
            </w:r>
          </w:p>
        </w:tc>
        <w:tc>
          <w:tcPr>
            <w:tcW w:w="1032" w:type="dxa"/>
            <w:gridSpan w:val="6"/>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КОМУНАЛЬНЕ НЕКОМЕРЦІЙНЕ ПІДПРИЄМСТВО "ВЕРХОВИНСЬКА РАЙОННА ЛІКАРНЯ" ВРР</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за ЄДРПОУ </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1993374</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Орган управління   </w:t>
            </w:r>
          </w:p>
        </w:tc>
        <w:tc>
          <w:tcPr>
            <w:tcW w:w="1032" w:type="dxa"/>
            <w:gridSpan w:val="3"/>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Верховинська селищна рада</w:t>
            </w: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 КОПФГ</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150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Галузь     </w:t>
            </w:r>
          </w:p>
        </w:tc>
        <w:tc>
          <w:tcPr>
            <w:tcW w:w="1032" w:type="dxa"/>
            <w:gridSpan w:val="2"/>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Охорона здоров'я</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 КОАТУУ</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7410700000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Вид економічної діяльності    </w:t>
            </w:r>
          </w:p>
        </w:tc>
        <w:tc>
          <w:tcPr>
            <w:tcW w:w="1032" w:type="dxa"/>
            <w:gridSpan w:val="4"/>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Діяльність лікарняних закладів</w:t>
            </w: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 СПОДУ</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Одиниця виміру</w:t>
            </w:r>
          </w:p>
        </w:tc>
        <w:tc>
          <w:tcPr>
            <w:tcW w:w="1032" w:type="dxa"/>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тис. грн.</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 ЗКГНГ</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Форма власності</w:t>
            </w:r>
          </w:p>
        </w:tc>
        <w:tc>
          <w:tcPr>
            <w:tcW w:w="1032" w:type="dxa"/>
            <w:gridSpan w:val="2"/>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комунальна</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за  КВЕД  </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86.10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Середньооблікова кількість штатних працівників</w:t>
            </w:r>
          </w:p>
        </w:tc>
        <w:tc>
          <w:tcPr>
            <w:tcW w:w="1032" w:type="dxa"/>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240</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rFonts w:ascii="Calibri" w:hAnsi="Calibri" w:cs="Calibri"/>
                <w:color w:val="00000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Місцезнаходження  </w:t>
            </w:r>
          </w:p>
        </w:tc>
        <w:tc>
          <w:tcPr>
            <w:tcW w:w="1032" w:type="dxa"/>
            <w:gridSpan w:val="6"/>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вул. Невестюка ,3 с-ще Верховина,Ів.Франківської обл.78701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rFonts w:ascii="Calibri" w:hAnsi="Calibri" w:cs="Calibri"/>
                <w:color w:val="00000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Телефон </w:t>
            </w:r>
          </w:p>
        </w:tc>
        <w:tc>
          <w:tcPr>
            <w:tcW w:w="1032" w:type="dxa"/>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2-10-65</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Керівник</w:t>
            </w:r>
          </w:p>
        </w:tc>
        <w:tc>
          <w:tcPr>
            <w:tcW w:w="1032" w:type="dxa"/>
            <w:gridSpan w:val="3"/>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Кікінчук Галина Миколаївна</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тис. грн.</w:t>
            </w:r>
          </w:p>
        </w:tc>
        <w:tc>
          <w:tcPr>
            <w:tcW w:w="1176" w:type="dxa"/>
            <w:tcBorders>
              <w:top w:val="single" w:sz="6" w:space="0" w:color="auto"/>
              <w:left w:val="nil"/>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nil"/>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Найменування показника</w:t>
            </w:r>
          </w:p>
        </w:tc>
        <w:tc>
          <w:tcPr>
            <w:tcW w:w="1032" w:type="dxa"/>
            <w:tcBorders>
              <w:top w:val="single" w:sz="6" w:space="0" w:color="auto"/>
              <w:left w:val="single" w:sz="6" w:space="0" w:color="auto"/>
              <w:bottom w:val="nil"/>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Код рядка </w:t>
            </w:r>
          </w:p>
        </w:tc>
        <w:tc>
          <w:tcPr>
            <w:tcW w:w="1032" w:type="dxa"/>
            <w:tcBorders>
              <w:top w:val="single" w:sz="6" w:space="0" w:color="auto"/>
              <w:left w:val="single" w:sz="6" w:space="0" w:color="auto"/>
              <w:bottom w:val="nil"/>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Факт минулого року</w:t>
            </w:r>
          </w:p>
        </w:tc>
        <w:tc>
          <w:tcPr>
            <w:tcW w:w="1032" w:type="dxa"/>
            <w:tcBorders>
              <w:top w:val="single" w:sz="6" w:space="0" w:color="auto"/>
              <w:left w:val="single" w:sz="6" w:space="0" w:color="auto"/>
              <w:bottom w:val="nil"/>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Фінансовий план поточного </w:t>
            </w:r>
            <w:r>
              <w:rPr>
                <w:color w:val="000000"/>
                <w:sz w:val="20"/>
                <w:szCs w:val="20"/>
              </w:rPr>
              <w:lastRenderedPageBreak/>
              <w:t>року</w:t>
            </w:r>
          </w:p>
        </w:tc>
        <w:tc>
          <w:tcPr>
            <w:tcW w:w="1032" w:type="dxa"/>
            <w:tcBorders>
              <w:top w:val="single" w:sz="6" w:space="0" w:color="auto"/>
              <w:left w:val="single" w:sz="6" w:space="0" w:color="auto"/>
              <w:bottom w:val="nil"/>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lastRenderedPageBreak/>
              <w:t>Плановий рік  (усього)</w:t>
            </w:r>
          </w:p>
        </w:tc>
        <w:tc>
          <w:tcPr>
            <w:tcW w:w="1032" w:type="dxa"/>
            <w:gridSpan w:val="3"/>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У тому числі за кварталами </w:t>
            </w: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nil"/>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І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ІІ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ІІІ  </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ІV </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2" w:space="0" w:color="000000"/>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I. Фінансові результати</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gridSpan w:val="2"/>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Доходи і витрати від операційної діяльності (деталізація)</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Дохід (виручка) від реалізації продукції (товарів, робіт, послуг)</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75580,20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17113,10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21663,80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18936,50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17866,80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Дохід з місцевого бюджету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3152,70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559,60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764,50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794,20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1034,40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Дохід з місцевого бюджету за цільовими програмами.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1022,00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1022,00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1300,00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1275,00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Дохід з місцевого бюджету з спецфонду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2757,90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2757,90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gridSpan w:val="2"/>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Доходи від НСЗУ на певинну медико санітарну допомогу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178,30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178,30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Доходи від НСЗУ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123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26800,60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26800,60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70139,60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16254,50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20667,80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16636,80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16580,50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 xml:space="preserve">Covid-19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123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8216,10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8216,10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Субвенція з державних бюджетів місцевим</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дохід від операційної оренди активів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131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187,90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74,00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30,50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51,90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власні доходи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132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200,00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Витрати</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Заробітна плата</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23396,10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23396,10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47332,00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10242,70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12978,20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12073,10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12038,00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Нарахування на оплату праці</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5147,20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5147,20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10191,00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2253,40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2490,90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2727,20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2719,50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Предмети, матеріали, обладнання та інвентар</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1846,80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1846,80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1029,80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511,40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180,10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176,40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161,90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Медикаменти та перев'язувальні матеріали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3925,60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3925,60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3515,20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545,70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980,20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994,70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994,60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Продукти харчування</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811,40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811,40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1396,00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241,00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382,20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386,40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386,40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Оплата послуг (крім комунальних)</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879,00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879,00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955,40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182,50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259,20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245,80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267,90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Видатки на відрядження</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36,90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12,30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12,30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Оплата комунальних послуг та енергоносіїв, в тому числі:</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3152,70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559,60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764,50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794,20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1034,40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Оплата теплопостачання</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Оплата водопостачання та водовідведення</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123,90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123,90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158,20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31,70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31,70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Оплата електроенергії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1056,80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1056,80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1578,40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274,60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292,20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317,70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693,90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lastRenderedPageBreak/>
              <w:t>Оплата природного газу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Оплата інших енергоносіїв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480,00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480,00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1043,00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135,20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346,80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343,80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217,20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Оплата енергосервісу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345,00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345,00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373,10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86,70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101,00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91,60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Окремі заходи по реалізації державних (регіональних) програм, не віднесені до заходів розвитку</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Соціальне забезпечення</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1150,20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524,70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199,90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225,10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200,50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Інші поточні видатки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106,20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106,20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201,00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47,10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51,30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51,30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Інші операційні витрати (розшифрувати*)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321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Разом (сума рядків 200 - 320)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38150,30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38150,30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68970,20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15113,10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18303,80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17686,50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17866,80</w:t>
            </w:r>
          </w:p>
        </w:tc>
        <w:tc>
          <w:tcPr>
            <w:tcW w:w="1032" w:type="dxa"/>
            <w:tcBorders>
              <w:top w:val="single" w:sz="2" w:space="0" w:color="000000"/>
              <w:left w:val="single" w:sz="6" w:space="0" w:color="auto"/>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ІІ. Елементи операційних витрат</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Матеріальні затрати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8589,80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8589,80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9093,70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1857,70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2307,00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2351,70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2577,30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Витрати на оплату праці</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23396,10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23396,10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47332,00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10242,70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12978,20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12073,10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12038,00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Відрахування на соціальні заходи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5147,20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5147,20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10191,00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2253,40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2490,90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2727,20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2719,50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Інші операційні витрати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1017,20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1017,20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2353,50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759,30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527,70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534,50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532,00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Разом (сума рядків 400 - 440)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38150,30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38150,30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68970,20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15113,10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18303,80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17686,50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17866,80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ІІІ. Інвестиційна діяльність</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Доходи від інвестиційної діяльності, у т.ч.:</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727,00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727,00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5360,00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2000,00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3360,00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доходи з місцевого бюджету цільового фінансування по капітальних видатках</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501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727,00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727,00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Капітальні інвестиції, усього, у тому числі:</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510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3012,90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3012,90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6610,00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2000,00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3360,00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1250,00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капітальне будівництво</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придбання (виготовлення) основних засобів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2607,00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2607,00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6610,00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2000,00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3360,00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1250,00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придбання (виготовлення) інших необоротних матеріальних активів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придбання (створення) нематеріальних активів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модернізація, модифікація (добудова, дообладнання, реконструкція) основних засобів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304,90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304,90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капітальний ремонт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516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41,00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ІV. Фінансова діяльність</w:t>
            </w: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p>
        </w:tc>
        <w:tc>
          <w:tcPr>
            <w:tcW w:w="1176"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Доходи від фінансової діяльності за зобов’язаннями, у т. ч.:</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 xml:space="preserve">кредити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601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lastRenderedPageBreak/>
              <w:t>позики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602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депозити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603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Інші надходження (розшифрувати)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Витрати від фінансової діяльності за зобов’язаннями, у т. ч.:</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 xml:space="preserve">кредити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621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позики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622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i/>
                <w:iCs/>
                <w:color w:val="000000"/>
                <w:sz w:val="20"/>
                <w:szCs w:val="20"/>
              </w:rPr>
            </w:pPr>
            <w:r>
              <w:rPr>
                <w:i/>
                <w:iCs/>
                <w:color w:val="000000"/>
                <w:sz w:val="20"/>
                <w:szCs w:val="20"/>
              </w:rPr>
              <w:t>депозити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i/>
                <w:iCs/>
                <w:color w:val="000000"/>
                <w:sz w:val="20"/>
                <w:szCs w:val="20"/>
              </w:rPr>
            </w:pPr>
            <w:r>
              <w:rPr>
                <w:i/>
                <w:iCs/>
                <w:color w:val="000000"/>
                <w:sz w:val="20"/>
                <w:szCs w:val="20"/>
              </w:rPr>
              <w:t>623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Інші витрати (капітальний ремонт)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630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Усього доходів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75580,20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17113,10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21663,80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18936,50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17866,80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Усього витрат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800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41890,20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75580,20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17113,10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21663,80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18936,50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17866,80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Нерозподілені доходи</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850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nil"/>
            </w:tcBorders>
            <w:shd w:val="solid" w:color="FFFFFF" w:fill="auto"/>
          </w:tcPr>
          <w:p w:rsidR="00906B09" w:rsidRDefault="00906B09" w:rsidP="004A2A66">
            <w:pPr>
              <w:autoSpaceDE w:val="0"/>
              <w:autoSpaceDN w:val="0"/>
              <w:adjustRightInd w:val="0"/>
              <w:rPr>
                <w:b/>
                <w:bCs/>
                <w:color w:val="000000"/>
                <w:sz w:val="20"/>
                <w:szCs w:val="20"/>
              </w:rPr>
            </w:pPr>
            <w:r>
              <w:rPr>
                <w:b/>
                <w:bCs/>
                <w:color w:val="000000"/>
                <w:sz w:val="20"/>
                <w:szCs w:val="20"/>
              </w:rPr>
              <w:t>IV. Додаткова інформація</w:t>
            </w:r>
          </w:p>
        </w:tc>
        <w:tc>
          <w:tcPr>
            <w:tcW w:w="1032" w:type="dxa"/>
            <w:tcBorders>
              <w:top w:val="single" w:sz="6" w:space="0" w:color="auto"/>
              <w:left w:val="nil"/>
              <w:bottom w:val="single" w:sz="6" w:space="0" w:color="auto"/>
              <w:right w:val="single" w:sz="6" w:space="0" w:color="auto"/>
            </w:tcBorders>
            <w:shd w:val="solid" w:color="FFFFFF" w:fill="auto"/>
          </w:tcPr>
          <w:p w:rsidR="00906B09" w:rsidRDefault="00906B09" w:rsidP="004A2A66">
            <w:pPr>
              <w:autoSpaceDE w:val="0"/>
              <w:autoSpaceDN w:val="0"/>
              <w:adjustRightInd w:val="0"/>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на 1.01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на 1.04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на 1.07</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r>
              <w:rPr>
                <w:b/>
                <w:bCs/>
                <w:color w:val="000000"/>
                <w:sz w:val="20"/>
                <w:szCs w:val="20"/>
              </w:rPr>
              <w:t>на 1.10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Штатна чисельність працівників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r>
              <w:rPr>
                <w:color w:val="000000"/>
                <w:sz w:val="20"/>
                <w:szCs w:val="20"/>
              </w:rPr>
              <w:t>222,25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r>
              <w:rPr>
                <w:color w:val="000000"/>
                <w:sz w:val="20"/>
                <w:szCs w:val="20"/>
              </w:rPr>
              <w:t>222,25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r>
              <w:rPr>
                <w:color w:val="000000"/>
                <w:sz w:val="20"/>
                <w:szCs w:val="20"/>
              </w:rPr>
              <w:t>222,25</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right"/>
              <w:rPr>
                <w:color w:val="000000"/>
                <w:sz w:val="20"/>
                <w:szCs w:val="20"/>
              </w:rPr>
            </w:pPr>
            <w:r>
              <w:rPr>
                <w:color w:val="000000"/>
                <w:sz w:val="20"/>
                <w:szCs w:val="20"/>
              </w:rPr>
              <w:t>240,00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Вартість основних засобів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6" w:space="0" w:color="auto"/>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Податкова заборгованість</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492"/>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Заборгованість перед працівниками за заробітною платою</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0,00</w:t>
            </w: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Дебіторська заборгованість</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940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Кредиторська заборгованість</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950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6" w:space="0" w:color="auto"/>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176" w:type="dxa"/>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2" w:space="0" w:color="000000"/>
              <w:left w:val="single" w:sz="2" w:space="0" w:color="000000"/>
              <w:bottom w:val="single" w:sz="6" w:space="0" w:color="auto"/>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Директор__________________</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gridSpan w:val="3"/>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_________________________</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i/>
                <w:iCs/>
                <w:color w:val="000000"/>
                <w:sz w:val="20"/>
                <w:szCs w:val="20"/>
              </w:rPr>
            </w:pPr>
          </w:p>
        </w:tc>
        <w:tc>
          <w:tcPr>
            <w:tcW w:w="1032" w:type="dxa"/>
            <w:gridSpan w:val="2"/>
            <w:tcBorders>
              <w:top w:val="single" w:sz="2" w:space="0" w:color="000000"/>
              <w:left w:val="single" w:sz="2" w:space="0" w:color="000000"/>
              <w:bottom w:val="single" w:sz="6" w:space="0" w:color="auto"/>
              <w:right w:val="nil"/>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Г.КІКІНЧУК</w:t>
            </w:r>
          </w:p>
        </w:tc>
        <w:tc>
          <w:tcPr>
            <w:tcW w:w="1176" w:type="dxa"/>
            <w:tcBorders>
              <w:top w:val="single" w:sz="2" w:space="0" w:color="000000"/>
              <w:left w:val="nil"/>
              <w:bottom w:val="single" w:sz="6" w:space="0" w:color="auto"/>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                                (посада)</w:t>
            </w: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color w:val="000000"/>
                <w:sz w:val="20"/>
                <w:szCs w:val="20"/>
              </w:rPr>
            </w:pPr>
          </w:p>
        </w:tc>
        <w:tc>
          <w:tcPr>
            <w:tcW w:w="1032" w:type="dxa"/>
            <w:gridSpan w:val="2"/>
            <w:tcBorders>
              <w:top w:val="single" w:sz="2" w:space="0" w:color="000000"/>
              <w:left w:val="single" w:sz="2" w:space="0" w:color="000000"/>
              <w:bottom w:val="single" w:sz="2" w:space="0" w:color="000000"/>
              <w:right w:val="nil"/>
            </w:tcBorders>
            <w:shd w:val="solid" w:color="FFFFFF" w:fill="auto"/>
          </w:tcPr>
          <w:p w:rsidR="00906B09" w:rsidRDefault="00906B09" w:rsidP="004A2A66">
            <w:pPr>
              <w:autoSpaceDE w:val="0"/>
              <w:autoSpaceDN w:val="0"/>
              <w:adjustRightInd w:val="0"/>
              <w:rPr>
                <w:color w:val="000000"/>
                <w:sz w:val="20"/>
                <w:szCs w:val="20"/>
              </w:rPr>
            </w:pPr>
            <w:r>
              <w:rPr>
                <w:color w:val="000000"/>
                <w:sz w:val="20"/>
                <w:szCs w:val="20"/>
              </w:rPr>
              <w:t xml:space="preserve">               (підпис)</w:t>
            </w:r>
          </w:p>
        </w:tc>
        <w:tc>
          <w:tcPr>
            <w:tcW w:w="1032" w:type="dxa"/>
            <w:tcBorders>
              <w:top w:val="single" w:sz="2" w:space="0" w:color="000000"/>
              <w:left w:val="nil"/>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rPr>
                <w:color w:val="000000"/>
                <w:sz w:val="20"/>
                <w:szCs w:val="20"/>
              </w:rPr>
            </w:pPr>
          </w:p>
        </w:tc>
        <w:tc>
          <w:tcPr>
            <w:tcW w:w="1032" w:type="dxa"/>
            <w:gridSpan w:val="3"/>
            <w:tcBorders>
              <w:top w:val="single" w:sz="6" w:space="0" w:color="auto"/>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center"/>
              <w:rPr>
                <w:color w:val="000000"/>
                <w:sz w:val="20"/>
                <w:szCs w:val="20"/>
              </w:rPr>
            </w:pPr>
            <w:r>
              <w:rPr>
                <w:color w:val="000000"/>
                <w:sz w:val="20"/>
                <w:szCs w:val="20"/>
              </w:rPr>
              <w:t xml:space="preserve">         (ініціали, прізвище)    </w:t>
            </w: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shd w:val="solid" w:color="FFFFFF" w:fill="auto"/>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r w:rsidR="00906B09" w:rsidTr="004A2A66">
        <w:trPr>
          <w:trHeight w:val="290"/>
        </w:trPr>
        <w:tc>
          <w:tcPr>
            <w:tcW w:w="5059"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906B09" w:rsidRDefault="00906B09" w:rsidP="004A2A66">
            <w:pPr>
              <w:autoSpaceDE w:val="0"/>
              <w:autoSpaceDN w:val="0"/>
              <w:adjustRightInd w:val="0"/>
              <w:jc w:val="right"/>
              <w:rPr>
                <w:rFonts w:ascii="Calibri" w:hAnsi="Calibri" w:cs="Calibri"/>
                <w:color w:val="000000"/>
              </w:rPr>
            </w:pPr>
          </w:p>
        </w:tc>
      </w:tr>
    </w:tbl>
    <w:p w:rsidR="00906B09" w:rsidRDefault="00906B09">
      <w:pPr>
        <w:rPr>
          <w:lang w:val="uk-UA"/>
        </w:rPr>
      </w:pPr>
    </w:p>
    <w:p w:rsidR="00906B09" w:rsidRDefault="00906B09">
      <w:pPr>
        <w:rPr>
          <w:lang w:val="uk-UA"/>
        </w:rPr>
      </w:pPr>
    </w:p>
    <w:p w:rsidR="00906B09" w:rsidRDefault="00906B09">
      <w:pPr>
        <w:rPr>
          <w:lang w:val="uk-UA"/>
        </w:rPr>
        <w:sectPr w:rsidR="00906B09" w:rsidSect="0081120B">
          <w:pgSz w:w="16838" w:h="11906" w:orient="landscape"/>
          <w:pgMar w:top="1418" w:right="851" w:bottom="851" w:left="851" w:header="709" w:footer="709" w:gutter="0"/>
          <w:cols w:space="708"/>
          <w:docGrid w:linePitch="360"/>
        </w:sectPr>
      </w:pPr>
    </w:p>
    <w:p w:rsidR="00FE5CE2" w:rsidRPr="00472D03" w:rsidRDefault="00FE5CE2" w:rsidP="006E099F">
      <w:pPr>
        <w:rPr>
          <w:lang w:val="uk-UA"/>
        </w:rPr>
      </w:pPr>
    </w:p>
    <w:sectPr w:rsidR="00FE5CE2" w:rsidRPr="00472D03" w:rsidSect="00CB75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23" w:rsidRDefault="00360E23" w:rsidP="005C324C">
      <w:r>
        <w:separator/>
      </w:r>
    </w:p>
  </w:endnote>
  <w:endnote w:type="continuationSeparator" w:id="0">
    <w:p w:rsidR="00360E23" w:rsidRDefault="00360E23" w:rsidP="005C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23" w:rsidRDefault="00360E23" w:rsidP="005C324C">
      <w:r>
        <w:separator/>
      </w:r>
    </w:p>
  </w:footnote>
  <w:footnote w:type="continuationSeparator" w:id="0">
    <w:p w:rsidR="00360E23" w:rsidRDefault="00360E23" w:rsidP="005C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419"/>
    <w:multiLevelType w:val="multilevel"/>
    <w:tmpl w:val="50925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217E0B"/>
    <w:multiLevelType w:val="hybridMultilevel"/>
    <w:tmpl w:val="733434D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555ACF"/>
    <w:multiLevelType w:val="hybridMultilevel"/>
    <w:tmpl w:val="0A78DCEA"/>
    <w:lvl w:ilvl="0" w:tplc="0422000B">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
    <w:nsid w:val="0DC73716"/>
    <w:multiLevelType w:val="hybridMultilevel"/>
    <w:tmpl w:val="536815B6"/>
    <w:lvl w:ilvl="0" w:tplc="2D706BC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05D018D"/>
    <w:multiLevelType w:val="hybridMultilevel"/>
    <w:tmpl w:val="B590CA66"/>
    <w:lvl w:ilvl="0" w:tplc="BF4C758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5FA448E"/>
    <w:multiLevelType w:val="hybridMultilevel"/>
    <w:tmpl w:val="9446C18E"/>
    <w:lvl w:ilvl="0" w:tplc="04220009">
      <w:start w:val="1"/>
      <w:numFmt w:val="bullet"/>
      <w:lvlText w:val=""/>
      <w:lvlJc w:val="left"/>
      <w:pPr>
        <w:ind w:left="1069" w:hanging="360"/>
      </w:pPr>
      <w:rPr>
        <w:rFonts w:ascii="Wingdings" w:hAnsi="Wingdings"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8FF2ABF"/>
    <w:multiLevelType w:val="hybridMultilevel"/>
    <w:tmpl w:val="05DC1576"/>
    <w:lvl w:ilvl="0" w:tplc="A1083822">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092B6F"/>
    <w:multiLevelType w:val="hybridMultilevel"/>
    <w:tmpl w:val="BADC39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064009"/>
    <w:multiLevelType w:val="hybridMultilevel"/>
    <w:tmpl w:val="8174BFF8"/>
    <w:lvl w:ilvl="0" w:tplc="9B1600F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77753A5"/>
    <w:multiLevelType w:val="hybridMultilevel"/>
    <w:tmpl w:val="DE2A9FA0"/>
    <w:lvl w:ilvl="0" w:tplc="96F0D9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8244D3C"/>
    <w:multiLevelType w:val="hybridMultilevel"/>
    <w:tmpl w:val="6E62FE76"/>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nsid w:val="5ACA3837"/>
    <w:multiLevelType w:val="hybridMultilevel"/>
    <w:tmpl w:val="C0E0EC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C7D5690"/>
    <w:multiLevelType w:val="hybridMultilevel"/>
    <w:tmpl w:val="35FEB2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4D6B69"/>
    <w:multiLevelType w:val="hybridMultilevel"/>
    <w:tmpl w:val="75887B2A"/>
    <w:lvl w:ilvl="0" w:tplc="5600C284">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E5124B"/>
    <w:multiLevelType w:val="hybridMultilevel"/>
    <w:tmpl w:val="3F26F0E8"/>
    <w:lvl w:ilvl="0" w:tplc="7D76841A">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5">
    <w:nsid w:val="7E82028F"/>
    <w:multiLevelType w:val="hybridMultilevel"/>
    <w:tmpl w:val="9710DE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14"/>
  </w:num>
  <w:num w:numId="6">
    <w:abstractNumId w:val="0"/>
  </w:num>
  <w:num w:numId="7">
    <w:abstractNumId w:val="1"/>
  </w:num>
  <w:num w:numId="8">
    <w:abstractNumId w:val="3"/>
  </w:num>
  <w:num w:numId="9">
    <w:abstractNumId w:val="2"/>
  </w:num>
  <w:num w:numId="10">
    <w:abstractNumId w:val="10"/>
  </w:num>
  <w:num w:numId="11">
    <w:abstractNumId w:val="13"/>
  </w:num>
  <w:num w:numId="12">
    <w:abstractNumId w:val="7"/>
  </w:num>
  <w:num w:numId="13">
    <w:abstractNumId w:val="15"/>
  </w:num>
  <w:num w:numId="14">
    <w:abstractNumId w:val="12"/>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4A529A"/>
    <w:rsid w:val="000142D7"/>
    <w:rsid w:val="00022A1D"/>
    <w:rsid w:val="000348F1"/>
    <w:rsid w:val="0005065F"/>
    <w:rsid w:val="000700A7"/>
    <w:rsid w:val="00071C0A"/>
    <w:rsid w:val="000801C0"/>
    <w:rsid w:val="000841F8"/>
    <w:rsid w:val="00095CC2"/>
    <w:rsid w:val="000A1863"/>
    <w:rsid w:val="000A787D"/>
    <w:rsid w:val="000B5642"/>
    <w:rsid w:val="000C7124"/>
    <w:rsid w:val="000E22E3"/>
    <w:rsid w:val="000E3045"/>
    <w:rsid w:val="000E38FC"/>
    <w:rsid w:val="000E7C27"/>
    <w:rsid w:val="001069D0"/>
    <w:rsid w:val="00132153"/>
    <w:rsid w:val="001406BB"/>
    <w:rsid w:val="00147907"/>
    <w:rsid w:val="001564F9"/>
    <w:rsid w:val="001615E1"/>
    <w:rsid w:val="00161808"/>
    <w:rsid w:val="0018179E"/>
    <w:rsid w:val="001A5EBC"/>
    <w:rsid w:val="001B08CE"/>
    <w:rsid w:val="001B0ED5"/>
    <w:rsid w:val="001C6A38"/>
    <w:rsid w:val="001C7D30"/>
    <w:rsid w:val="001E283C"/>
    <w:rsid w:val="001E40CA"/>
    <w:rsid w:val="001F0C68"/>
    <w:rsid w:val="0020721C"/>
    <w:rsid w:val="00226CA6"/>
    <w:rsid w:val="0023005D"/>
    <w:rsid w:val="00234579"/>
    <w:rsid w:val="0023649E"/>
    <w:rsid w:val="0023670B"/>
    <w:rsid w:val="00245DEA"/>
    <w:rsid w:val="002568AB"/>
    <w:rsid w:val="0025715F"/>
    <w:rsid w:val="00261AA8"/>
    <w:rsid w:val="00266928"/>
    <w:rsid w:val="00271906"/>
    <w:rsid w:val="002765FE"/>
    <w:rsid w:val="002769F4"/>
    <w:rsid w:val="00283376"/>
    <w:rsid w:val="0028548F"/>
    <w:rsid w:val="002960AC"/>
    <w:rsid w:val="002970B6"/>
    <w:rsid w:val="002A6D67"/>
    <w:rsid w:val="002D0F6F"/>
    <w:rsid w:val="002D2EB9"/>
    <w:rsid w:val="002E3E53"/>
    <w:rsid w:val="002F08CC"/>
    <w:rsid w:val="002F260A"/>
    <w:rsid w:val="002F7898"/>
    <w:rsid w:val="003103F2"/>
    <w:rsid w:val="003123A1"/>
    <w:rsid w:val="0031527E"/>
    <w:rsid w:val="00323F47"/>
    <w:rsid w:val="003553A3"/>
    <w:rsid w:val="003567E2"/>
    <w:rsid w:val="00360E23"/>
    <w:rsid w:val="00393219"/>
    <w:rsid w:val="003B652B"/>
    <w:rsid w:val="003E5339"/>
    <w:rsid w:val="003E78C9"/>
    <w:rsid w:val="003F6348"/>
    <w:rsid w:val="003F6B44"/>
    <w:rsid w:val="004051C0"/>
    <w:rsid w:val="004103F8"/>
    <w:rsid w:val="004158BD"/>
    <w:rsid w:val="0042106C"/>
    <w:rsid w:val="00423CCF"/>
    <w:rsid w:val="00424DA0"/>
    <w:rsid w:val="00426B81"/>
    <w:rsid w:val="0042716C"/>
    <w:rsid w:val="0043193A"/>
    <w:rsid w:val="004348E2"/>
    <w:rsid w:val="0046627C"/>
    <w:rsid w:val="00472D03"/>
    <w:rsid w:val="00475828"/>
    <w:rsid w:val="004811B1"/>
    <w:rsid w:val="00487F0D"/>
    <w:rsid w:val="004906FE"/>
    <w:rsid w:val="004969D9"/>
    <w:rsid w:val="00497B39"/>
    <w:rsid w:val="004A1F99"/>
    <w:rsid w:val="004A2A66"/>
    <w:rsid w:val="004A529A"/>
    <w:rsid w:val="004B3456"/>
    <w:rsid w:val="004C2F38"/>
    <w:rsid w:val="004E2553"/>
    <w:rsid w:val="004E272A"/>
    <w:rsid w:val="004E4089"/>
    <w:rsid w:val="00520620"/>
    <w:rsid w:val="00533359"/>
    <w:rsid w:val="00543274"/>
    <w:rsid w:val="00556FFD"/>
    <w:rsid w:val="0056269A"/>
    <w:rsid w:val="005642CC"/>
    <w:rsid w:val="00565F28"/>
    <w:rsid w:val="00571744"/>
    <w:rsid w:val="00575137"/>
    <w:rsid w:val="0058090A"/>
    <w:rsid w:val="005823A3"/>
    <w:rsid w:val="0058586F"/>
    <w:rsid w:val="005952DD"/>
    <w:rsid w:val="00597A9D"/>
    <w:rsid w:val="005A561F"/>
    <w:rsid w:val="005A7D4D"/>
    <w:rsid w:val="005C0241"/>
    <w:rsid w:val="005C324C"/>
    <w:rsid w:val="005C4D08"/>
    <w:rsid w:val="005D2873"/>
    <w:rsid w:val="005E1EA1"/>
    <w:rsid w:val="005E66BC"/>
    <w:rsid w:val="005E6D05"/>
    <w:rsid w:val="005F156A"/>
    <w:rsid w:val="00612DFE"/>
    <w:rsid w:val="0061701F"/>
    <w:rsid w:val="0063011A"/>
    <w:rsid w:val="00632806"/>
    <w:rsid w:val="00665A92"/>
    <w:rsid w:val="006662D5"/>
    <w:rsid w:val="00666399"/>
    <w:rsid w:val="006725DD"/>
    <w:rsid w:val="006900F0"/>
    <w:rsid w:val="006A2C95"/>
    <w:rsid w:val="006D4113"/>
    <w:rsid w:val="006E099F"/>
    <w:rsid w:val="006E0A2F"/>
    <w:rsid w:val="006E7EFC"/>
    <w:rsid w:val="006F1C8F"/>
    <w:rsid w:val="006F5669"/>
    <w:rsid w:val="007009C5"/>
    <w:rsid w:val="00704BC1"/>
    <w:rsid w:val="007054E2"/>
    <w:rsid w:val="0070751D"/>
    <w:rsid w:val="00712D79"/>
    <w:rsid w:val="00737AE9"/>
    <w:rsid w:val="00746731"/>
    <w:rsid w:val="00747465"/>
    <w:rsid w:val="007732E7"/>
    <w:rsid w:val="007747F1"/>
    <w:rsid w:val="00793E3A"/>
    <w:rsid w:val="007A55FF"/>
    <w:rsid w:val="007B2790"/>
    <w:rsid w:val="007B6E8D"/>
    <w:rsid w:val="007C582D"/>
    <w:rsid w:val="007D2790"/>
    <w:rsid w:val="007D4858"/>
    <w:rsid w:val="007E3202"/>
    <w:rsid w:val="007F3355"/>
    <w:rsid w:val="008015D3"/>
    <w:rsid w:val="008019BA"/>
    <w:rsid w:val="0081120B"/>
    <w:rsid w:val="00813449"/>
    <w:rsid w:val="008138B3"/>
    <w:rsid w:val="00816176"/>
    <w:rsid w:val="008207BD"/>
    <w:rsid w:val="00825C48"/>
    <w:rsid w:val="0083726E"/>
    <w:rsid w:val="00843716"/>
    <w:rsid w:val="00851732"/>
    <w:rsid w:val="00854D17"/>
    <w:rsid w:val="00863F01"/>
    <w:rsid w:val="0087073D"/>
    <w:rsid w:val="00871595"/>
    <w:rsid w:val="00874446"/>
    <w:rsid w:val="00880371"/>
    <w:rsid w:val="00893F57"/>
    <w:rsid w:val="008A260E"/>
    <w:rsid w:val="008B339C"/>
    <w:rsid w:val="008B4C70"/>
    <w:rsid w:val="008B4FD4"/>
    <w:rsid w:val="008B71C9"/>
    <w:rsid w:val="008B737C"/>
    <w:rsid w:val="008B7612"/>
    <w:rsid w:val="008C42EC"/>
    <w:rsid w:val="008C5A02"/>
    <w:rsid w:val="008D59B6"/>
    <w:rsid w:val="008E17A5"/>
    <w:rsid w:val="008F0FD0"/>
    <w:rsid w:val="009007A0"/>
    <w:rsid w:val="00906B09"/>
    <w:rsid w:val="00917E4E"/>
    <w:rsid w:val="00933B5F"/>
    <w:rsid w:val="009415BF"/>
    <w:rsid w:val="00946427"/>
    <w:rsid w:val="0095718B"/>
    <w:rsid w:val="00965990"/>
    <w:rsid w:val="00980002"/>
    <w:rsid w:val="00982692"/>
    <w:rsid w:val="00987A06"/>
    <w:rsid w:val="009A02EF"/>
    <w:rsid w:val="009B679F"/>
    <w:rsid w:val="009C0A0F"/>
    <w:rsid w:val="009E4135"/>
    <w:rsid w:val="009E47EA"/>
    <w:rsid w:val="009F2CD9"/>
    <w:rsid w:val="00A02685"/>
    <w:rsid w:val="00A201E2"/>
    <w:rsid w:val="00A34CEF"/>
    <w:rsid w:val="00A34FA9"/>
    <w:rsid w:val="00A40392"/>
    <w:rsid w:val="00A43245"/>
    <w:rsid w:val="00A438D4"/>
    <w:rsid w:val="00A43BC5"/>
    <w:rsid w:val="00A63B70"/>
    <w:rsid w:val="00A81A65"/>
    <w:rsid w:val="00A879B1"/>
    <w:rsid w:val="00A91532"/>
    <w:rsid w:val="00A944C2"/>
    <w:rsid w:val="00A95F83"/>
    <w:rsid w:val="00AB274D"/>
    <w:rsid w:val="00AD248E"/>
    <w:rsid w:val="00AD29F0"/>
    <w:rsid w:val="00AF1077"/>
    <w:rsid w:val="00AF34CE"/>
    <w:rsid w:val="00AF486A"/>
    <w:rsid w:val="00AF492D"/>
    <w:rsid w:val="00AF5F41"/>
    <w:rsid w:val="00B126D2"/>
    <w:rsid w:val="00B16146"/>
    <w:rsid w:val="00B2027C"/>
    <w:rsid w:val="00B27A26"/>
    <w:rsid w:val="00B40BBF"/>
    <w:rsid w:val="00B511AF"/>
    <w:rsid w:val="00B613FE"/>
    <w:rsid w:val="00B753BE"/>
    <w:rsid w:val="00B84D71"/>
    <w:rsid w:val="00B93617"/>
    <w:rsid w:val="00BA4483"/>
    <w:rsid w:val="00BA5FE7"/>
    <w:rsid w:val="00BB0B6B"/>
    <w:rsid w:val="00BC7453"/>
    <w:rsid w:val="00BD098E"/>
    <w:rsid w:val="00BF0BF6"/>
    <w:rsid w:val="00BF2EA2"/>
    <w:rsid w:val="00BF30EA"/>
    <w:rsid w:val="00BF32F5"/>
    <w:rsid w:val="00C01FC7"/>
    <w:rsid w:val="00C17E4B"/>
    <w:rsid w:val="00C20394"/>
    <w:rsid w:val="00C20D8E"/>
    <w:rsid w:val="00C21BC9"/>
    <w:rsid w:val="00C23A7F"/>
    <w:rsid w:val="00C65BE7"/>
    <w:rsid w:val="00C76A84"/>
    <w:rsid w:val="00C920A6"/>
    <w:rsid w:val="00C92EB4"/>
    <w:rsid w:val="00C94900"/>
    <w:rsid w:val="00CA1E1F"/>
    <w:rsid w:val="00CA6144"/>
    <w:rsid w:val="00CB7529"/>
    <w:rsid w:val="00CC58E0"/>
    <w:rsid w:val="00CF1DB4"/>
    <w:rsid w:val="00CF66CF"/>
    <w:rsid w:val="00CF7832"/>
    <w:rsid w:val="00D05F88"/>
    <w:rsid w:val="00D12CB2"/>
    <w:rsid w:val="00D21482"/>
    <w:rsid w:val="00D30325"/>
    <w:rsid w:val="00D31E76"/>
    <w:rsid w:val="00D33E06"/>
    <w:rsid w:val="00D43E44"/>
    <w:rsid w:val="00D4532A"/>
    <w:rsid w:val="00D50DEC"/>
    <w:rsid w:val="00D5567E"/>
    <w:rsid w:val="00D5712B"/>
    <w:rsid w:val="00D5721D"/>
    <w:rsid w:val="00D60290"/>
    <w:rsid w:val="00D821B7"/>
    <w:rsid w:val="00D915F6"/>
    <w:rsid w:val="00D93FDD"/>
    <w:rsid w:val="00D96637"/>
    <w:rsid w:val="00DA0E44"/>
    <w:rsid w:val="00DA78E6"/>
    <w:rsid w:val="00DB042E"/>
    <w:rsid w:val="00DB30D4"/>
    <w:rsid w:val="00DC1575"/>
    <w:rsid w:val="00DC218B"/>
    <w:rsid w:val="00DD3BC0"/>
    <w:rsid w:val="00DE1193"/>
    <w:rsid w:val="00DE129E"/>
    <w:rsid w:val="00DE49C3"/>
    <w:rsid w:val="00DE4AC3"/>
    <w:rsid w:val="00DF19AD"/>
    <w:rsid w:val="00DF3B29"/>
    <w:rsid w:val="00E16FB7"/>
    <w:rsid w:val="00E24A9B"/>
    <w:rsid w:val="00E31F21"/>
    <w:rsid w:val="00E327A0"/>
    <w:rsid w:val="00E32BB7"/>
    <w:rsid w:val="00E375E1"/>
    <w:rsid w:val="00E43B93"/>
    <w:rsid w:val="00E5399D"/>
    <w:rsid w:val="00E54696"/>
    <w:rsid w:val="00E6221B"/>
    <w:rsid w:val="00E66A30"/>
    <w:rsid w:val="00E75CF9"/>
    <w:rsid w:val="00E75DFD"/>
    <w:rsid w:val="00E77EBB"/>
    <w:rsid w:val="00E84AAF"/>
    <w:rsid w:val="00EA0548"/>
    <w:rsid w:val="00EC5DA7"/>
    <w:rsid w:val="00EC6AB9"/>
    <w:rsid w:val="00EE0F0C"/>
    <w:rsid w:val="00EE2541"/>
    <w:rsid w:val="00EF6406"/>
    <w:rsid w:val="00F02E36"/>
    <w:rsid w:val="00F06CA3"/>
    <w:rsid w:val="00F0757D"/>
    <w:rsid w:val="00F12DA6"/>
    <w:rsid w:val="00F22C14"/>
    <w:rsid w:val="00F34BAB"/>
    <w:rsid w:val="00F36912"/>
    <w:rsid w:val="00F420ED"/>
    <w:rsid w:val="00F47C50"/>
    <w:rsid w:val="00F50B4A"/>
    <w:rsid w:val="00F538D9"/>
    <w:rsid w:val="00F75833"/>
    <w:rsid w:val="00F810B1"/>
    <w:rsid w:val="00FA3097"/>
    <w:rsid w:val="00FA6BF5"/>
    <w:rsid w:val="00FC066C"/>
    <w:rsid w:val="00FC2F54"/>
    <w:rsid w:val="00FE5C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9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standard1">
    <w:name w:val="gmail-standard1"/>
    <w:basedOn w:val="a"/>
    <w:uiPriority w:val="99"/>
    <w:rsid w:val="004A529A"/>
    <w:pPr>
      <w:spacing w:before="100" w:beforeAutospacing="1" w:after="100" w:afterAutospacing="1"/>
    </w:pPr>
    <w:rPr>
      <w:lang w:val="uk-UA" w:eastAsia="uk-UA"/>
    </w:rPr>
  </w:style>
  <w:style w:type="paragraph" w:styleId="HTML">
    <w:name w:val="HTML Preformatted"/>
    <w:basedOn w:val="a"/>
    <w:link w:val="HTML0"/>
    <w:uiPriority w:val="99"/>
    <w:rsid w:val="004A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4A529A"/>
    <w:rPr>
      <w:rFonts w:ascii="Courier New" w:hAnsi="Courier New" w:cs="Courier New"/>
      <w:sz w:val="20"/>
      <w:szCs w:val="20"/>
      <w:lang w:eastAsia="uk-UA"/>
    </w:rPr>
  </w:style>
  <w:style w:type="paragraph" w:styleId="a3">
    <w:name w:val="No Spacing"/>
    <w:uiPriority w:val="99"/>
    <w:qFormat/>
    <w:rsid w:val="004B3456"/>
    <w:rPr>
      <w:rFonts w:ascii="Times New Roman" w:eastAsia="Times New Roman" w:hAnsi="Times New Roman"/>
      <w:sz w:val="24"/>
      <w:szCs w:val="24"/>
      <w:lang w:val="ru-RU" w:eastAsia="ru-RU"/>
    </w:rPr>
  </w:style>
  <w:style w:type="character" w:customStyle="1" w:styleId="normaltextrun">
    <w:name w:val="normaltextrun"/>
    <w:basedOn w:val="a0"/>
    <w:uiPriority w:val="99"/>
    <w:rsid w:val="004B3456"/>
    <w:rPr>
      <w:rFonts w:cs="Times New Roman"/>
    </w:rPr>
  </w:style>
  <w:style w:type="paragraph" w:styleId="a4">
    <w:name w:val="Balloon Text"/>
    <w:basedOn w:val="a"/>
    <w:link w:val="a5"/>
    <w:uiPriority w:val="99"/>
    <w:semiHidden/>
    <w:rsid w:val="004B3456"/>
    <w:rPr>
      <w:rFonts w:ascii="Tahoma" w:hAnsi="Tahoma" w:cs="Tahoma"/>
      <w:sz w:val="16"/>
      <w:szCs w:val="16"/>
    </w:rPr>
  </w:style>
  <w:style w:type="character" w:customStyle="1" w:styleId="a5">
    <w:name w:val="Текст выноски Знак"/>
    <w:basedOn w:val="a0"/>
    <w:link w:val="a4"/>
    <w:uiPriority w:val="99"/>
    <w:semiHidden/>
    <w:locked/>
    <w:rsid w:val="004B3456"/>
    <w:rPr>
      <w:rFonts w:ascii="Tahoma" w:hAnsi="Tahoma" w:cs="Tahoma"/>
      <w:sz w:val="16"/>
      <w:szCs w:val="16"/>
      <w:lang w:val="ru-RU" w:eastAsia="ru-RU"/>
    </w:rPr>
  </w:style>
  <w:style w:type="paragraph" w:styleId="a6">
    <w:name w:val="List Paragraph"/>
    <w:basedOn w:val="a"/>
    <w:uiPriority w:val="99"/>
    <w:qFormat/>
    <w:rsid w:val="00DE49C3"/>
    <w:pPr>
      <w:spacing w:after="200" w:line="276" w:lineRule="auto"/>
      <w:ind w:left="720"/>
      <w:contextualSpacing/>
    </w:pPr>
    <w:rPr>
      <w:rFonts w:ascii="Calibri" w:hAnsi="Calibri"/>
      <w:sz w:val="22"/>
      <w:szCs w:val="22"/>
      <w:lang w:val="uk-UA" w:eastAsia="uk-UA"/>
    </w:rPr>
  </w:style>
  <w:style w:type="character" w:styleId="a7">
    <w:name w:val="Strong"/>
    <w:basedOn w:val="a0"/>
    <w:uiPriority w:val="99"/>
    <w:qFormat/>
    <w:rsid w:val="00DE49C3"/>
    <w:rPr>
      <w:rFonts w:cs="Times New Roman"/>
      <w:b/>
    </w:rPr>
  </w:style>
  <w:style w:type="character" w:customStyle="1" w:styleId="rvts7">
    <w:name w:val="rvts7"/>
    <w:basedOn w:val="a0"/>
    <w:uiPriority w:val="99"/>
    <w:rsid w:val="00DE49C3"/>
    <w:rPr>
      <w:rFonts w:cs="Times New Roman"/>
    </w:rPr>
  </w:style>
  <w:style w:type="paragraph" w:customStyle="1" w:styleId="rvps43">
    <w:name w:val="rvps43"/>
    <w:basedOn w:val="a"/>
    <w:uiPriority w:val="99"/>
    <w:rsid w:val="00DE49C3"/>
    <w:pPr>
      <w:spacing w:before="100" w:beforeAutospacing="1" w:after="100" w:afterAutospacing="1"/>
    </w:pPr>
    <w:rPr>
      <w:rFonts w:ascii="Calibri" w:hAnsi="Calibri"/>
      <w:lang w:val="uk-UA" w:eastAsia="uk-UA"/>
    </w:rPr>
  </w:style>
  <w:style w:type="character" w:customStyle="1" w:styleId="a8">
    <w:name w:val="Обычный (веб) Знак"/>
    <w:link w:val="a9"/>
    <w:uiPriority w:val="99"/>
    <w:locked/>
    <w:rsid w:val="00DE49C3"/>
    <w:rPr>
      <w:sz w:val="24"/>
      <w:lang w:val="ru-RU" w:eastAsia="ru-RU"/>
    </w:rPr>
  </w:style>
  <w:style w:type="paragraph" w:styleId="a9">
    <w:name w:val="Normal (Web)"/>
    <w:basedOn w:val="a"/>
    <w:link w:val="a8"/>
    <w:uiPriority w:val="99"/>
    <w:rsid w:val="00DE49C3"/>
    <w:rPr>
      <w:rFonts w:ascii="Calibri" w:eastAsia="Calibri" w:hAnsi="Calibri"/>
      <w:szCs w:val="20"/>
    </w:rPr>
  </w:style>
  <w:style w:type="character" w:styleId="aa">
    <w:name w:val="Hyperlink"/>
    <w:basedOn w:val="a0"/>
    <w:uiPriority w:val="99"/>
    <w:rsid w:val="00DE49C3"/>
    <w:rPr>
      <w:rFonts w:cs="Times New Roman"/>
      <w:color w:val="0000FF"/>
      <w:u w:val="single"/>
    </w:rPr>
  </w:style>
  <w:style w:type="paragraph" w:customStyle="1" w:styleId="ab">
    <w:name w:val="Нормальний текст"/>
    <w:basedOn w:val="a"/>
    <w:rsid w:val="00DE49C3"/>
    <w:pPr>
      <w:spacing w:before="120"/>
      <w:ind w:firstLine="567"/>
    </w:pPr>
    <w:rPr>
      <w:rFonts w:ascii="Antiqua" w:hAnsi="Antiqua"/>
      <w:sz w:val="26"/>
      <w:szCs w:val="20"/>
      <w:lang w:val="uk-UA"/>
    </w:rPr>
  </w:style>
  <w:style w:type="paragraph" w:styleId="ac">
    <w:name w:val="header"/>
    <w:basedOn w:val="a"/>
    <w:link w:val="ad"/>
    <w:uiPriority w:val="99"/>
    <w:semiHidden/>
    <w:rsid w:val="005C324C"/>
    <w:pPr>
      <w:tabs>
        <w:tab w:val="center" w:pos="4819"/>
        <w:tab w:val="right" w:pos="9639"/>
      </w:tabs>
    </w:pPr>
  </w:style>
  <w:style w:type="character" w:customStyle="1" w:styleId="ad">
    <w:name w:val="Верхний колонтитул Знак"/>
    <w:basedOn w:val="a0"/>
    <w:link w:val="ac"/>
    <w:uiPriority w:val="99"/>
    <w:semiHidden/>
    <w:locked/>
    <w:rsid w:val="005C324C"/>
    <w:rPr>
      <w:rFonts w:ascii="Times New Roman" w:hAnsi="Times New Roman" w:cs="Times New Roman"/>
      <w:sz w:val="24"/>
      <w:szCs w:val="24"/>
      <w:lang w:val="ru-RU" w:eastAsia="ru-RU"/>
    </w:rPr>
  </w:style>
  <w:style w:type="paragraph" w:styleId="ae">
    <w:name w:val="footer"/>
    <w:basedOn w:val="a"/>
    <w:link w:val="af"/>
    <w:uiPriority w:val="99"/>
    <w:semiHidden/>
    <w:rsid w:val="005C324C"/>
    <w:pPr>
      <w:tabs>
        <w:tab w:val="center" w:pos="4819"/>
        <w:tab w:val="right" w:pos="9639"/>
      </w:tabs>
    </w:pPr>
  </w:style>
  <w:style w:type="character" w:customStyle="1" w:styleId="af">
    <w:name w:val="Нижний колонтитул Знак"/>
    <w:basedOn w:val="a0"/>
    <w:link w:val="ae"/>
    <w:uiPriority w:val="99"/>
    <w:semiHidden/>
    <w:locked/>
    <w:rsid w:val="005C324C"/>
    <w:rPr>
      <w:rFonts w:ascii="Times New Roman" w:hAnsi="Times New Roman" w:cs="Times New Roman"/>
      <w:sz w:val="24"/>
      <w:szCs w:val="24"/>
      <w:lang w:val="ru-RU" w:eastAsia="ru-RU"/>
    </w:rPr>
  </w:style>
  <w:style w:type="paragraph" w:customStyle="1" w:styleId="listparagraph">
    <w:name w:val="listparagraph"/>
    <w:basedOn w:val="a"/>
    <w:uiPriority w:val="99"/>
    <w:rsid w:val="00472D03"/>
    <w:pPr>
      <w:spacing w:before="100" w:beforeAutospacing="1" w:after="100" w:afterAutospacing="1"/>
    </w:pPr>
    <w:rPr>
      <w:lang w:val="uk-UA" w:eastAsia="uk-UA"/>
    </w:rPr>
  </w:style>
  <w:style w:type="paragraph" w:styleId="af0">
    <w:name w:val="Title"/>
    <w:basedOn w:val="a"/>
    <w:link w:val="af1"/>
    <w:uiPriority w:val="99"/>
    <w:qFormat/>
    <w:locked/>
    <w:rsid w:val="0023649E"/>
    <w:pPr>
      <w:jc w:val="center"/>
    </w:pPr>
    <w:rPr>
      <w:b/>
      <w:lang w:val="uk-UA"/>
    </w:rPr>
  </w:style>
  <w:style w:type="character" w:customStyle="1" w:styleId="af1">
    <w:name w:val="Название Знак"/>
    <w:basedOn w:val="a0"/>
    <w:link w:val="af0"/>
    <w:uiPriority w:val="99"/>
    <w:locked/>
    <w:rsid w:val="0023649E"/>
    <w:rPr>
      <w:rFonts w:ascii="Times New Roman" w:hAnsi="Times New Roman" w:cs="Times New Roman"/>
      <w:b/>
      <w:sz w:val="24"/>
      <w:szCs w:val="24"/>
      <w:lang w:eastAsia="ru-RU"/>
    </w:rPr>
  </w:style>
  <w:style w:type="paragraph" w:customStyle="1" w:styleId="af2">
    <w:name w:val="Нормальный"/>
    <w:rsid w:val="0023649E"/>
    <w:pPr>
      <w:autoSpaceDE w:val="0"/>
      <w:autoSpaceDN w:val="0"/>
    </w:pPr>
    <w:rPr>
      <w:rFonts w:ascii="UkrainianPeterburg" w:eastAsia="Times New Roman" w:hAnsi="UkrainianPeterburg"/>
      <w:sz w:val="28"/>
      <w:szCs w:val="28"/>
      <w:lang w:eastAsia="ru-RU"/>
    </w:rPr>
  </w:style>
  <w:style w:type="paragraph" w:styleId="af3">
    <w:name w:val="Body Text"/>
    <w:basedOn w:val="a"/>
    <w:link w:val="af4"/>
    <w:uiPriority w:val="99"/>
    <w:rsid w:val="00E43B93"/>
    <w:pPr>
      <w:jc w:val="both"/>
    </w:pPr>
    <w:rPr>
      <w:sz w:val="26"/>
    </w:rPr>
  </w:style>
  <w:style w:type="character" w:customStyle="1" w:styleId="af4">
    <w:name w:val="Основной текст Знак"/>
    <w:basedOn w:val="a0"/>
    <w:link w:val="af3"/>
    <w:uiPriority w:val="99"/>
    <w:locked/>
    <w:rsid w:val="00E43B93"/>
    <w:rPr>
      <w:rFonts w:ascii="Times New Roman" w:hAnsi="Times New Roman" w:cs="Times New Roman"/>
      <w:sz w:val="24"/>
      <w:szCs w:val="24"/>
      <w:lang w:eastAsia="ru-RU"/>
    </w:rPr>
  </w:style>
  <w:style w:type="paragraph" w:customStyle="1" w:styleId="rvps2">
    <w:name w:val="rvps2"/>
    <w:basedOn w:val="a"/>
    <w:uiPriority w:val="99"/>
    <w:rsid w:val="00E43B93"/>
    <w:pPr>
      <w:spacing w:before="100" w:beforeAutospacing="1" w:after="100" w:afterAutospacing="1"/>
    </w:pPr>
    <w:rPr>
      <w:rFonts w:eastAsia="Calibri"/>
      <w:lang w:val="uk-UA" w:eastAsia="uk-UA"/>
    </w:rPr>
  </w:style>
  <w:style w:type="table" w:styleId="af5">
    <w:name w:val="Table Grid"/>
    <w:basedOn w:val="a1"/>
    <w:uiPriority w:val="99"/>
    <w:locked/>
    <w:rsid w:val="009E4135"/>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482508">
      <w:marLeft w:val="0"/>
      <w:marRight w:val="0"/>
      <w:marTop w:val="0"/>
      <w:marBottom w:val="0"/>
      <w:divBdr>
        <w:top w:val="none" w:sz="0" w:space="0" w:color="auto"/>
        <w:left w:val="none" w:sz="0" w:space="0" w:color="auto"/>
        <w:bottom w:val="none" w:sz="0" w:space="0" w:color="auto"/>
        <w:right w:val="none" w:sz="0" w:space="0" w:color="auto"/>
      </w:divBdr>
    </w:div>
    <w:div w:id="1023482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5186</Words>
  <Characters>2957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2022-11-22T09:06:00Z</cp:lastPrinted>
  <dcterms:created xsi:type="dcterms:W3CDTF">2022-11-23T09:02:00Z</dcterms:created>
  <dcterms:modified xsi:type="dcterms:W3CDTF">2022-11-23T09:02:00Z</dcterms:modified>
</cp:coreProperties>
</file>